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31" w:line="224" w:lineRule="auto"/>
        <w:ind w:left="561"/>
        <w:rPr>
          <w:rFonts w:ascii="仿宋" w:hAnsi="仿宋" w:eastAsia="仿宋" w:cs="仿宋"/>
          <w:sz w:val="54"/>
          <w:szCs w:val="54"/>
        </w:rPr>
      </w:pPr>
      <w:r>
        <w:rPr>
          <w:rFonts w:ascii="仿宋" w:hAnsi="仿宋" w:eastAsia="仿宋" w:cs="仿宋"/>
          <w:color w:val="FF0000"/>
          <w:spacing w:val="12"/>
          <w:sz w:val="54"/>
          <w:szCs w:val="54"/>
        </w:rPr>
        <w:t>成</w:t>
      </w:r>
      <w:r>
        <w:rPr>
          <w:rFonts w:ascii="仿宋" w:hAnsi="仿宋" w:eastAsia="仿宋" w:cs="仿宋"/>
          <w:color w:val="FF0000"/>
          <w:spacing w:val="10"/>
          <w:sz w:val="54"/>
          <w:szCs w:val="54"/>
        </w:rPr>
        <w:t>都</w:t>
      </w:r>
      <w:r>
        <w:rPr>
          <w:rFonts w:ascii="仿宋" w:hAnsi="仿宋" w:eastAsia="仿宋" w:cs="仿宋"/>
          <w:color w:val="FF0000"/>
          <w:spacing w:val="6"/>
          <w:sz w:val="54"/>
          <w:szCs w:val="54"/>
        </w:rPr>
        <w:t>市双流区名师名校长工作室</w:t>
      </w:r>
    </w:p>
    <w:p>
      <w:pPr>
        <w:spacing w:before="484" w:line="218" w:lineRule="auto"/>
        <w:ind w:left="1814"/>
        <w:rPr>
          <w:rFonts w:ascii="仿宋" w:hAnsi="仿宋" w:eastAsia="仿宋" w:cs="仿宋"/>
          <w:sz w:val="95"/>
          <w:szCs w:val="95"/>
        </w:rPr>
      </w:pPr>
      <w:r>
        <w:rPr>
          <w:rFonts w:ascii="仿宋" w:hAnsi="仿宋" w:eastAsia="仿宋" w:cs="仿宋"/>
          <w:color w:val="FF0000"/>
          <w:spacing w:val="3"/>
          <w:sz w:val="95"/>
          <w:szCs w:val="95"/>
        </w:rPr>
        <w:t>工 作 简 报</w:t>
      </w:r>
    </w:p>
    <w:p>
      <w:pPr>
        <w:spacing w:line="226" w:lineRule="auto"/>
        <w:ind w:left="889"/>
        <w:outlineLvl w:val="0"/>
        <w:rPr>
          <w:rFonts w:ascii="仿宋" w:hAnsi="仿宋" w:eastAsia="仿宋" w:cs="仿宋"/>
          <w:sz w:val="43"/>
          <w:szCs w:val="43"/>
        </w:rPr>
      </w:pPr>
      <w:r>
        <w:rPr>
          <w:rFonts w:ascii="仿宋" w:hAnsi="仿宋" w:eastAsia="仿宋" w:cs="仿宋"/>
          <w:spacing w:val="-6"/>
          <w:sz w:val="43"/>
          <w:szCs w:val="43"/>
        </w:rPr>
        <w:t>〔</w:t>
      </w:r>
      <w:r>
        <w:rPr>
          <w:rFonts w:ascii="仿宋" w:hAnsi="仿宋" w:eastAsia="仿宋" w:cs="仿宋"/>
          <w:spacing w:val="-4"/>
          <w:sz w:val="43"/>
          <w:szCs w:val="43"/>
        </w:rPr>
        <w:t xml:space="preserve"> </w:t>
      </w:r>
      <w:r>
        <w:rPr>
          <w:rFonts w:ascii="仿宋" w:hAnsi="仿宋" w:eastAsia="仿宋" w:cs="仿宋"/>
          <w:spacing w:val="-3"/>
          <w:sz w:val="43"/>
          <w:szCs w:val="43"/>
        </w:rPr>
        <w:t xml:space="preserve">2 0 2 2〕第 </w:t>
      </w:r>
      <w:r>
        <w:rPr>
          <w:rFonts w:hint="eastAsia" w:ascii="仿宋" w:hAnsi="仿宋" w:eastAsia="仿宋" w:cs="仿宋"/>
          <w:spacing w:val="-3"/>
          <w:sz w:val="43"/>
          <w:szCs w:val="43"/>
          <w:lang w:val="en-US" w:eastAsia="zh-CN"/>
        </w:rPr>
        <w:t>7</w:t>
      </w:r>
      <w:r>
        <w:rPr>
          <w:rFonts w:ascii="仿宋" w:hAnsi="仿宋" w:eastAsia="仿宋" w:cs="仿宋"/>
          <w:spacing w:val="-3"/>
          <w:sz w:val="43"/>
          <w:szCs w:val="43"/>
        </w:rPr>
        <w:t xml:space="preserve"> 期 (总第 1</w:t>
      </w:r>
      <w:r>
        <w:rPr>
          <w:rFonts w:hint="eastAsia" w:ascii="仿宋" w:hAnsi="仿宋" w:eastAsia="仿宋" w:cs="仿宋"/>
          <w:spacing w:val="-3"/>
          <w:sz w:val="43"/>
          <w:szCs w:val="43"/>
          <w:lang w:val="en-US" w:eastAsia="zh-CN"/>
        </w:rPr>
        <w:t>7</w:t>
      </w:r>
      <w:r>
        <w:rPr>
          <w:rFonts w:ascii="仿宋" w:hAnsi="仿宋" w:eastAsia="仿宋" w:cs="仿宋"/>
          <w:spacing w:val="-3"/>
          <w:sz w:val="43"/>
          <w:szCs w:val="43"/>
        </w:rPr>
        <w:t xml:space="preserve"> 期)</w:t>
      </w:r>
    </w:p>
    <w:p>
      <w:pPr>
        <w:spacing w:before="198" w:line="226" w:lineRule="auto"/>
        <w:ind w:left="231"/>
        <w:rPr>
          <w:rFonts w:ascii="仿宋" w:hAnsi="仿宋" w:eastAsia="仿宋" w:cs="仿宋"/>
          <w:sz w:val="30"/>
          <w:szCs w:val="30"/>
        </w:rPr>
      </w:pPr>
      <w:r>
        <w:rPr>
          <w:rFonts w:ascii="仿宋" w:hAnsi="仿宋" w:eastAsia="仿宋" w:cs="仿宋"/>
          <w:spacing w:val="8"/>
          <w:sz w:val="30"/>
          <w:szCs w:val="30"/>
        </w:rPr>
        <w:t>成都市双流区</w:t>
      </w:r>
      <w:r>
        <w:rPr>
          <w:rFonts w:ascii="仿宋" w:hAnsi="仿宋" w:eastAsia="仿宋" w:cs="仿宋"/>
          <w:spacing w:val="5"/>
          <w:sz w:val="30"/>
          <w:szCs w:val="30"/>
        </w:rPr>
        <w:t>名</w:t>
      </w:r>
      <w:r>
        <w:rPr>
          <w:rFonts w:ascii="仿宋" w:hAnsi="仿宋" w:eastAsia="仿宋" w:cs="仿宋"/>
          <w:spacing w:val="4"/>
          <w:sz w:val="30"/>
          <w:szCs w:val="30"/>
        </w:rPr>
        <w:t xml:space="preserve">师 (校长) 陈双工作室编 2022 年 4 月 </w:t>
      </w:r>
      <w:r>
        <w:rPr>
          <w:rFonts w:hint="eastAsia" w:ascii="仿宋" w:hAnsi="仿宋" w:eastAsia="仿宋" w:cs="仿宋"/>
          <w:spacing w:val="4"/>
          <w:sz w:val="30"/>
          <w:szCs w:val="30"/>
          <w:lang w:val="en-US" w:eastAsia="zh-CN"/>
        </w:rPr>
        <w:t>19</w:t>
      </w:r>
      <w:r>
        <w:rPr>
          <w:rFonts w:ascii="仿宋" w:hAnsi="仿宋" w:eastAsia="仿宋" w:cs="仿宋"/>
          <w:spacing w:val="4"/>
          <w:sz w:val="30"/>
          <w:szCs w:val="30"/>
        </w:rPr>
        <w:t xml:space="preserve"> 日</w:t>
      </w:r>
    </w:p>
    <w:p>
      <w:pPr>
        <w:spacing w:before="163" w:line="156" w:lineRule="exact"/>
        <w:textAlignment w:val="center"/>
      </w:pPr>
      <w:r>
        <w:drawing>
          <wp:inline distT="0" distB="0" distL="0" distR="0">
            <wp:extent cx="5400675" cy="98425"/>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8"/>
                    <a:stretch>
                      <a:fillRect/>
                    </a:stretch>
                  </pic:blipFill>
                  <pic:spPr>
                    <a:xfrm>
                      <a:off x="0" y="0"/>
                      <a:ext cx="5401055" cy="99059"/>
                    </a:xfrm>
                    <a:prstGeom prst="rect">
                      <a:avLst/>
                    </a:prstGeom>
                  </pic:spPr>
                </pic:pic>
              </a:graphicData>
            </a:graphic>
          </wp:inline>
        </w:drawing>
      </w:r>
    </w:p>
    <w:p>
      <w:pPr>
        <w:spacing w:before="133" w:line="221" w:lineRule="auto"/>
        <w:ind w:left="1491"/>
        <w:rPr>
          <w:rFonts w:ascii="黑体" w:hAnsi="黑体" w:eastAsia="黑体" w:cs="黑体"/>
          <w:sz w:val="40"/>
          <w:szCs w:val="40"/>
        </w:rPr>
      </w:pPr>
      <w:r>
        <w:rPr>
          <w:rFonts w:hint="eastAsia" w:ascii="黑体" w:hAnsi="黑体" w:eastAsia="黑体" w:cs="黑体"/>
          <w:spacing w:val="-2"/>
          <w:sz w:val="40"/>
          <w:szCs w:val="40"/>
          <w:lang w:val="en-US" w:eastAsia="zh-CN"/>
        </w:rPr>
        <w:t>美育文件促育人  双减政策领新风</w:t>
      </w:r>
      <w:r>
        <w:rPr>
          <w:rFonts w:ascii="黑体" w:hAnsi="黑体" w:eastAsia="黑体" w:cs="黑体"/>
          <w:spacing w:val="-2"/>
          <w:sz w:val="40"/>
          <w:szCs w:val="40"/>
        </w:rPr>
        <w:t xml:space="preserve"> </w:t>
      </w:r>
    </w:p>
    <w:p>
      <w:pPr>
        <w:spacing w:before="155" w:line="222" w:lineRule="auto"/>
        <w:ind w:left="1425"/>
        <w:rPr>
          <w:rFonts w:hint="eastAsia" w:ascii="黑体" w:hAnsi="黑体" w:eastAsia="黑体" w:cs="黑体"/>
          <w:sz w:val="28"/>
          <w:szCs w:val="28"/>
          <w:lang w:val="en-US" w:eastAsia="zh-CN"/>
        </w:rPr>
      </w:pPr>
      <w:r>
        <w:rPr>
          <w:rFonts w:ascii="黑体" w:hAnsi="黑体" w:eastAsia="黑体" w:cs="黑体"/>
          <w:spacing w:val="1"/>
          <w:sz w:val="28"/>
          <w:szCs w:val="28"/>
        </w:rPr>
        <w:t>——成</w:t>
      </w:r>
      <w:r>
        <w:rPr>
          <w:rFonts w:ascii="黑体" w:hAnsi="黑体" w:eastAsia="黑体" w:cs="黑体"/>
          <w:sz w:val="28"/>
          <w:szCs w:val="28"/>
        </w:rPr>
        <w:t>都市双流区音乐名师陈双工作室网络研修纪事</w:t>
      </w:r>
      <w:r>
        <w:rPr>
          <w:rFonts w:hint="eastAsia" w:ascii="黑体" w:hAnsi="黑体" w:eastAsia="黑体" w:cs="黑体"/>
          <w:sz w:val="28"/>
          <w:szCs w:val="28"/>
          <w:lang w:val="en-US" w:eastAsia="zh-CN"/>
        </w:rPr>
        <w:t>2</w:t>
      </w:r>
    </w:p>
    <w:p>
      <w:pPr>
        <w:keepNext w:val="0"/>
        <w:keepLines w:val="0"/>
        <w:pageBreakBefore w:val="0"/>
        <w:widowControl/>
        <w:kinsoku w:val="0"/>
        <w:wordWrap/>
        <w:overflowPunct/>
        <w:topLinePunct w:val="0"/>
        <w:autoSpaceDE w:val="0"/>
        <w:autoSpaceDN w:val="0"/>
        <w:bidi w:val="0"/>
        <w:adjustRightInd w:val="0"/>
        <w:snapToGrid w:val="0"/>
        <w:spacing w:before="37" w:line="640" w:lineRule="exact"/>
        <w:ind w:left="647"/>
        <w:jc w:val="both"/>
        <w:textAlignment w:val="baseline"/>
        <w:rPr>
          <w:rFonts w:ascii="仿宋" w:hAnsi="仿宋" w:eastAsia="仿宋" w:cs="仿宋"/>
          <w:sz w:val="31"/>
          <w:szCs w:val="31"/>
        </w:rPr>
      </w:pPr>
      <w:bookmarkStart w:id="0" w:name="_GoBack"/>
      <w:r>
        <w:rPr>
          <w:rFonts w:ascii="仿宋" w:hAnsi="仿宋" w:eastAsia="仿宋" w:cs="仿宋"/>
          <w:spacing w:val="11"/>
          <w:sz w:val="31"/>
          <w:szCs w:val="31"/>
        </w:rPr>
        <w:t>按</w:t>
      </w:r>
      <w:r>
        <w:rPr>
          <w:rFonts w:ascii="仿宋" w:hAnsi="仿宋" w:eastAsia="仿宋" w:cs="仿宋"/>
          <w:spacing w:val="9"/>
          <w:sz w:val="31"/>
          <w:szCs w:val="31"/>
        </w:rPr>
        <w:t>照抗疫要求，双流区名师名校长工作室暂停线下研修活</w:t>
      </w:r>
    </w:p>
    <w:p>
      <w:pPr>
        <w:keepNext w:val="0"/>
        <w:keepLines w:val="0"/>
        <w:pageBreakBefore w:val="0"/>
        <w:widowControl/>
        <w:kinsoku w:val="0"/>
        <w:wordWrap/>
        <w:overflowPunct/>
        <w:topLinePunct w:val="0"/>
        <w:autoSpaceDE w:val="0"/>
        <w:autoSpaceDN w:val="0"/>
        <w:bidi w:val="0"/>
        <w:adjustRightInd w:val="0"/>
        <w:snapToGrid w:val="0"/>
        <w:spacing w:before="33" w:line="640" w:lineRule="exact"/>
        <w:ind w:left="3" w:firstLine="6"/>
        <w:jc w:val="both"/>
        <w:textAlignment w:val="baseline"/>
        <w:rPr>
          <w:rFonts w:ascii="仿宋" w:hAnsi="仿宋" w:eastAsia="仿宋" w:cs="仿宋"/>
          <w:spacing w:val="5"/>
          <w:sz w:val="31"/>
          <w:szCs w:val="31"/>
        </w:rPr>
      </w:pPr>
      <w:r>
        <w:rPr>
          <w:rFonts w:ascii="仿宋" w:hAnsi="仿宋" w:eastAsia="仿宋" w:cs="仿宋"/>
          <w:spacing w:val="16"/>
          <w:sz w:val="31"/>
          <w:szCs w:val="31"/>
        </w:rPr>
        <w:t>动</w:t>
      </w:r>
      <w:r>
        <w:rPr>
          <w:rFonts w:ascii="仿宋" w:hAnsi="仿宋" w:eastAsia="仿宋" w:cs="仿宋"/>
          <w:spacing w:val="10"/>
          <w:sz w:val="31"/>
          <w:szCs w:val="31"/>
        </w:rPr>
        <w:t>，</w:t>
      </w:r>
      <w:r>
        <w:rPr>
          <w:rFonts w:ascii="仿宋" w:hAnsi="仿宋" w:eastAsia="仿宋" w:cs="仿宋"/>
          <w:spacing w:val="8"/>
          <w:sz w:val="31"/>
          <w:szCs w:val="31"/>
        </w:rPr>
        <w:t>成都市双流区音乐陈双名师工作室</w:t>
      </w:r>
      <w:r>
        <w:rPr>
          <w:rFonts w:hint="eastAsia" w:ascii="仿宋" w:hAnsi="仿宋" w:eastAsia="仿宋" w:cs="仿宋"/>
          <w:spacing w:val="8"/>
          <w:sz w:val="31"/>
          <w:szCs w:val="31"/>
          <w:lang w:val="en-US" w:eastAsia="zh-CN"/>
        </w:rPr>
        <w:t>在陈双导师的引导下，</w:t>
      </w:r>
      <w:r>
        <w:rPr>
          <w:rFonts w:ascii="仿宋" w:hAnsi="仿宋" w:eastAsia="仿宋" w:cs="仿宋"/>
          <w:spacing w:val="8"/>
          <w:sz w:val="31"/>
          <w:szCs w:val="31"/>
        </w:rPr>
        <w:t>以</w:t>
      </w:r>
      <w:r>
        <w:rPr>
          <w:rFonts w:hint="eastAsia" w:ascii="仿宋" w:hAnsi="仿宋" w:eastAsia="仿宋" w:cs="仿宋"/>
          <w:spacing w:val="8"/>
          <w:sz w:val="31"/>
          <w:szCs w:val="31"/>
        </w:rPr>
        <w:t>学习中共中央办公厅，国务院办公厅</w:t>
      </w:r>
      <w:r>
        <w:rPr>
          <w:rFonts w:hint="eastAsia" w:ascii="仿宋" w:hAnsi="仿宋" w:eastAsia="仿宋" w:cs="仿宋"/>
          <w:spacing w:val="8"/>
          <w:sz w:val="31"/>
          <w:szCs w:val="31"/>
          <w:lang w:eastAsia="zh-CN"/>
        </w:rPr>
        <w:t>《</w:t>
      </w:r>
      <w:r>
        <w:rPr>
          <w:rFonts w:hint="eastAsia" w:ascii="仿宋" w:hAnsi="仿宋" w:eastAsia="仿宋" w:cs="仿宋"/>
          <w:spacing w:val="8"/>
          <w:sz w:val="31"/>
          <w:szCs w:val="31"/>
        </w:rPr>
        <w:t>关于全面加强和改进学校美育工作</w:t>
      </w:r>
      <w:r>
        <w:rPr>
          <w:rFonts w:hint="eastAsia" w:ascii="仿宋" w:hAnsi="仿宋" w:eastAsia="仿宋" w:cs="仿宋"/>
          <w:spacing w:val="8"/>
          <w:sz w:val="31"/>
          <w:szCs w:val="31"/>
          <w:lang w:val="en-US" w:eastAsia="zh-CN"/>
        </w:rPr>
        <w:t>意见</w:t>
      </w:r>
      <w:r>
        <w:rPr>
          <w:rFonts w:hint="eastAsia" w:ascii="仿宋" w:hAnsi="仿宋" w:eastAsia="仿宋" w:cs="仿宋"/>
          <w:spacing w:val="8"/>
          <w:sz w:val="31"/>
          <w:szCs w:val="31"/>
          <w:lang w:eastAsia="zh-CN"/>
        </w:rPr>
        <w:t>》</w:t>
      </w:r>
      <w:r>
        <w:rPr>
          <w:rFonts w:hint="eastAsia" w:ascii="仿宋" w:hAnsi="仿宋" w:eastAsia="仿宋" w:cs="仿宋"/>
          <w:spacing w:val="8"/>
          <w:sz w:val="31"/>
          <w:szCs w:val="31"/>
          <w:lang w:val="en-US" w:eastAsia="zh-CN"/>
        </w:rPr>
        <w:t>、《</w:t>
      </w:r>
      <w:r>
        <w:rPr>
          <w:rFonts w:hint="eastAsia" w:ascii="仿宋" w:hAnsi="仿宋" w:eastAsia="仿宋" w:cs="仿宋"/>
          <w:spacing w:val="8"/>
          <w:sz w:val="31"/>
          <w:szCs w:val="31"/>
        </w:rPr>
        <w:t>关于减轻学生作业负担和校外培训机构学习负担的</w:t>
      </w:r>
      <w:r>
        <w:rPr>
          <w:rFonts w:hint="eastAsia" w:ascii="仿宋" w:hAnsi="仿宋" w:eastAsia="仿宋" w:cs="仿宋"/>
          <w:spacing w:val="8"/>
          <w:sz w:val="31"/>
          <w:szCs w:val="31"/>
          <w:lang w:val="en-US" w:eastAsia="zh-CN"/>
        </w:rPr>
        <w:t>意见》两项重大政策文件并领会文件精神为重点，以《艺术教育赋能双减提升学校育人品质》为题写作读后感</w:t>
      </w:r>
      <w:r>
        <w:rPr>
          <w:rFonts w:hint="eastAsia" w:ascii="仿宋" w:hAnsi="仿宋" w:eastAsia="仿宋" w:cs="仿宋"/>
          <w:spacing w:val="8"/>
          <w:sz w:val="31"/>
          <w:szCs w:val="31"/>
        </w:rPr>
        <w:t>。</w:t>
      </w:r>
      <w:r>
        <w:rPr>
          <w:rFonts w:ascii="仿宋" w:hAnsi="仿宋" w:eastAsia="仿宋" w:cs="仿宋"/>
          <w:spacing w:val="1"/>
          <w:sz w:val="31"/>
          <w:szCs w:val="31"/>
        </w:rPr>
        <w:t>通过各位</w:t>
      </w:r>
      <w:r>
        <w:rPr>
          <w:rFonts w:ascii="仿宋" w:hAnsi="仿宋" w:eastAsia="仿宋" w:cs="仿宋"/>
          <w:sz w:val="31"/>
          <w:szCs w:val="31"/>
        </w:rPr>
        <w:t>学员的认真学习</w:t>
      </w:r>
      <w:r>
        <w:rPr>
          <w:rFonts w:hint="eastAsia" w:ascii="仿宋" w:hAnsi="仿宋" w:eastAsia="仿宋" w:cs="仿宋"/>
          <w:sz w:val="31"/>
          <w:szCs w:val="31"/>
          <w:lang w:val="en-US" w:eastAsia="zh-CN"/>
        </w:rPr>
        <w:t>和认真撰写读书笔记</w:t>
      </w:r>
      <w:r>
        <w:rPr>
          <w:rFonts w:ascii="仿宋" w:hAnsi="仿宋" w:eastAsia="仿宋" w:cs="仿宋"/>
          <w:sz w:val="31"/>
          <w:szCs w:val="31"/>
        </w:rPr>
        <w:t>，</w:t>
      </w:r>
      <w:r>
        <w:rPr>
          <w:rFonts w:ascii="仿宋" w:hAnsi="仿宋" w:eastAsia="仿宋" w:cs="仿宋"/>
          <w:spacing w:val="8"/>
          <w:sz w:val="31"/>
          <w:szCs w:val="31"/>
        </w:rPr>
        <w:t>展开了网上学习研究大讨论</w:t>
      </w:r>
      <w:r>
        <w:rPr>
          <w:rFonts w:ascii="仿宋" w:hAnsi="仿宋" w:eastAsia="仿宋" w:cs="仿宋"/>
          <w:spacing w:val="5"/>
          <w:sz w:val="31"/>
          <w:szCs w:val="31"/>
        </w:rPr>
        <w:t>。</w:t>
      </w:r>
    </w:p>
    <w:p>
      <w:pPr>
        <w:keepNext w:val="0"/>
        <w:keepLines w:val="0"/>
        <w:pageBreakBefore w:val="0"/>
        <w:widowControl/>
        <w:kinsoku w:val="0"/>
        <w:wordWrap/>
        <w:overflowPunct/>
        <w:topLinePunct w:val="0"/>
        <w:autoSpaceDE w:val="0"/>
        <w:autoSpaceDN w:val="0"/>
        <w:bidi w:val="0"/>
        <w:adjustRightInd w:val="0"/>
        <w:snapToGrid w:val="0"/>
        <w:spacing w:before="33" w:line="640" w:lineRule="exact"/>
        <w:ind w:left="3" w:firstLine="6"/>
        <w:jc w:val="both"/>
        <w:textAlignment w:val="baseline"/>
        <w:rPr>
          <w:rFonts w:hint="eastAsia" w:ascii="仿宋" w:hAnsi="仿宋" w:eastAsia="仿宋" w:cs="仿宋"/>
          <w:spacing w:val="8"/>
          <w:sz w:val="31"/>
          <w:szCs w:val="31"/>
        </w:rPr>
      </w:pPr>
      <w:r>
        <w:rPr>
          <w:rFonts w:hint="eastAsia" w:ascii="仿宋" w:hAnsi="仿宋" w:eastAsia="仿宋" w:cs="仿宋"/>
          <w:spacing w:val="5"/>
          <w:sz w:val="31"/>
          <w:szCs w:val="31"/>
          <w:lang w:val="en-US" w:eastAsia="zh-CN"/>
        </w:rPr>
        <w:t xml:space="preserve">    随着2022版最新修改的《义务教育课程方案和课程标准》的出台，教育领域的改革浪潮已经席卷而至。作为一线教师，必须要有对于前沿的敏感和自觉，在华东师范大学李政涛教授的《以“高质量教研”，带动“高质量教学”》一文中，首先就提到了抓重大会议、抓政策文件是把握前沿的关键途径。以宏观的眼光看待近几年这几项重大政策和意见的出台，我们会发现，</w:t>
      </w:r>
      <w:r>
        <w:rPr>
          <w:rFonts w:hint="eastAsia" w:ascii="仿宋" w:hAnsi="仿宋" w:eastAsia="仿宋" w:cs="仿宋"/>
          <w:spacing w:val="8"/>
          <w:sz w:val="31"/>
          <w:szCs w:val="31"/>
          <w:lang w:eastAsia="zh-CN"/>
        </w:rPr>
        <w:t>《</w:t>
      </w:r>
      <w:r>
        <w:rPr>
          <w:rFonts w:hint="eastAsia" w:ascii="仿宋" w:hAnsi="仿宋" w:eastAsia="仿宋" w:cs="仿宋"/>
          <w:spacing w:val="8"/>
          <w:sz w:val="31"/>
          <w:szCs w:val="31"/>
        </w:rPr>
        <w:t>关于全面加强和改进学校美育工作</w:t>
      </w:r>
      <w:r>
        <w:rPr>
          <w:rFonts w:hint="eastAsia" w:ascii="仿宋" w:hAnsi="仿宋" w:eastAsia="仿宋" w:cs="仿宋"/>
          <w:spacing w:val="8"/>
          <w:sz w:val="31"/>
          <w:szCs w:val="31"/>
          <w:lang w:val="en-US" w:eastAsia="zh-CN"/>
        </w:rPr>
        <w:t>意见</w:t>
      </w:r>
      <w:r>
        <w:rPr>
          <w:rFonts w:hint="eastAsia" w:ascii="仿宋" w:hAnsi="仿宋" w:eastAsia="仿宋" w:cs="仿宋"/>
          <w:spacing w:val="8"/>
          <w:sz w:val="31"/>
          <w:szCs w:val="31"/>
          <w:lang w:eastAsia="zh-CN"/>
        </w:rPr>
        <w:t>》</w:t>
      </w:r>
      <w:r>
        <w:rPr>
          <w:rFonts w:hint="eastAsia" w:ascii="仿宋" w:hAnsi="仿宋" w:eastAsia="仿宋" w:cs="仿宋"/>
          <w:spacing w:val="8"/>
          <w:sz w:val="31"/>
          <w:szCs w:val="31"/>
          <w:lang w:val="en-US" w:eastAsia="zh-CN"/>
        </w:rPr>
        <w:t>和《</w:t>
      </w:r>
      <w:r>
        <w:rPr>
          <w:rFonts w:hint="eastAsia" w:ascii="仿宋" w:hAnsi="仿宋" w:eastAsia="仿宋" w:cs="仿宋"/>
          <w:spacing w:val="8"/>
          <w:sz w:val="31"/>
          <w:szCs w:val="31"/>
        </w:rPr>
        <w:t>关于减</w:t>
      </w:r>
    </w:p>
    <w:p>
      <w:pPr>
        <w:keepNext w:val="0"/>
        <w:keepLines w:val="0"/>
        <w:pageBreakBefore w:val="0"/>
        <w:widowControl/>
        <w:kinsoku w:val="0"/>
        <w:wordWrap/>
        <w:overflowPunct/>
        <w:topLinePunct w:val="0"/>
        <w:autoSpaceDE w:val="0"/>
        <w:autoSpaceDN w:val="0"/>
        <w:bidi w:val="0"/>
        <w:adjustRightInd w:val="0"/>
        <w:snapToGrid w:val="0"/>
        <w:spacing w:before="33" w:line="640" w:lineRule="exact"/>
        <w:ind w:left="3" w:firstLine="6"/>
        <w:jc w:val="both"/>
        <w:textAlignment w:val="baseline"/>
        <w:rPr>
          <w:rFonts w:hint="default" w:ascii="仿宋" w:hAnsi="仿宋" w:eastAsia="仿宋" w:cs="仿宋"/>
          <w:spacing w:val="8"/>
          <w:sz w:val="31"/>
          <w:szCs w:val="31"/>
          <w:lang w:val="en-US" w:eastAsia="zh-CN"/>
        </w:rPr>
      </w:pPr>
      <w:r>
        <w:rPr>
          <w:rFonts w:hint="eastAsia" w:ascii="仿宋" w:hAnsi="仿宋" w:eastAsia="仿宋" w:cs="仿宋"/>
          <w:spacing w:val="8"/>
          <w:sz w:val="31"/>
          <w:szCs w:val="31"/>
        </w:rPr>
        <w:t>轻学生作业负担和校外培训机构学习负担的</w:t>
      </w:r>
      <w:r>
        <w:rPr>
          <w:rFonts w:hint="eastAsia" w:ascii="仿宋" w:hAnsi="仿宋" w:eastAsia="仿宋" w:cs="仿宋"/>
          <w:spacing w:val="8"/>
          <w:sz w:val="31"/>
          <w:szCs w:val="31"/>
          <w:lang w:val="en-US" w:eastAsia="zh-CN"/>
        </w:rPr>
        <w:t>意见》可以看</w:t>
      </w:r>
      <w:r>
        <w:rPr>
          <w:rFonts w:hint="eastAsia" w:ascii="仿宋" w:hAnsi="仿宋" w:eastAsia="仿宋" w:cs="仿宋"/>
          <w:spacing w:val="5"/>
          <w:sz w:val="31"/>
          <w:szCs w:val="31"/>
          <w:lang w:val="en-US" w:eastAsia="zh-CN"/>
        </w:rPr>
        <w:t>作为新版《义务教育课程方案和课程标准》的序曲和基石。了解、领悟这两项文件精神，将对我们学习和研究最新版《义务教育课程方案和课程标准》起到深远的指导意义。经过对读书心得的分享和讨论，我们有了以下总结：</w:t>
      </w:r>
    </w:p>
    <w:p>
      <w:pPr>
        <w:keepNext w:val="0"/>
        <w:keepLines w:val="0"/>
        <w:pageBreakBefore w:val="0"/>
        <w:widowControl/>
        <w:kinsoku w:val="0"/>
        <w:wordWrap/>
        <w:overflowPunct/>
        <w:topLinePunct w:val="0"/>
        <w:autoSpaceDE w:val="0"/>
        <w:autoSpaceDN w:val="0"/>
        <w:bidi w:val="0"/>
        <w:adjustRightInd w:val="0"/>
        <w:snapToGrid w:val="0"/>
        <w:spacing w:before="38" w:line="640" w:lineRule="exact"/>
        <w:ind w:left="5" w:right="90" w:firstLine="644"/>
        <w:jc w:val="both"/>
        <w:textAlignment w:val="baseline"/>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通过对《意见》的学习，首先我们老师要加强认识上的提高，也就是“为什么”一定要进行和加强美育工作，作为教师</w:t>
      </w:r>
    </w:p>
    <w:p>
      <w:pPr>
        <w:keepNext w:val="0"/>
        <w:keepLines w:val="0"/>
        <w:pageBreakBefore w:val="0"/>
        <w:widowControl/>
        <w:kinsoku w:val="0"/>
        <w:wordWrap/>
        <w:overflowPunct/>
        <w:topLinePunct w:val="0"/>
        <w:autoSpaceDE w:val="0"/>
        <w:autoSpaceDN w:val="0"/>
        <w:bidi w:val="0"/>
        <w:adjustRightInd w:val="0"/>
        <w:snapToGrid w:val="0"/>
        <w:spacing w:before="38" w:line="640" w:lineRule="exact"/>
        <w:ind w:right="90"/>
        <w:jc w:val="both"/>
        <w:textAlignment w:val="baseline"/>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要真正认识到美育对年轻一代身心健康的极端重要性。这两个</w:t>
      </w:r>
    </w:p>
    <w:p>
      <w:pPr>
        <w:keepNext w:val="0"/>
        <w:keepLines w:val="0"/>
        <w:pageBreakBefore w:val="0"/>
        <w:widowControl/>
        <w:kinsoku w:val="0"/>
        <w:wordWrap/>
        <w:overflowPunct/>
        <w:topLinePunct w:val="0"/>
        <w:autoSpaceDE w:val="0"/>
        <w:autoSpaceDN w:val="0"/>
        <w:bidi w:val="0"/>
        <w:adjustRightInd w:val="0"/>
        <w:snapToGrid w:val="0"/>
        <w:spacing w:before="38" w:line="640" w:lineRule="exact"/>
        <w:ind w:right="90"/>
        <w:jc w:val="both"/>
        <w:textAlignment w:val="baseline"/>
        <w:rPr>
          <w:rFonts w:hint="default"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美育的文件让我们的认识转型升级了，文件提出：美育是审美教育、情操教育和心灵教育，也是丰富想象力、美育的价值不仅只体现于提升审美素养，更是体现在陶冶情操、温润心灵、激发创新创造活力等方面。我们不能简单地理解，我们天天在上音乐美术课，就是天天在搞美育，偏离了以美育人正轨的艺术教育，那就不是美育。在我看来，美育的核心不是审美，因为“审”是价值判断，每个年龄段、每个人、每个地方都对美有补贴的价值观。而“美育”一词，由蔡元培先生提出，他所指的是人的情感的教育，美育应对学生的感性（包括感觉、感知、感情、感悟）进行培养，使之与理性平衡发展，美育也是学校中通过艺术教育让学生的感性和理性平衡发展的最具独特作用的课程。不是在学科教育、理性教育的基础上增加一个感性、美育的课程，而是它本来就是满足人发展需要的教育的一部分。</w:t>
      </w:r>
    </w:p>
    <w:p>
      <w:pPr>
        <w:keepNext w:val="0"/>
        <w:keepLines w:val="0"/>
        <w:pageBreakBefore w:val="0"/>
        <w:widowControl/>
        <w:kinsoku w:val="0"/>
        <w:wordWrap/>
        <w:overflowPunct/>
        <w:topLinePunct w:val="0"/>
        <w:autoSpaceDE w:val="0"/>
        <w:autoSpaceDN w:val="0"/>
        <w:bidi w:val="0"/>
        <w:adjustRightInd w:val="0"/>
        <w:snapToGrid w:val="0"/>
        <w:spacing w:before="38" w:line="640" w:lineRule="exact"/>
        <w:ind w:left="5" w:right="90" w:firstLine="644"/>
        <w:jc w:val="both"/>
        <w:textAlignment w:val="baseline"/>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在认识上得到转型和升级后，就需要关注美育的实施路径和评价标准，也就是做什么、怎么做的问题。《意见》中提出了加强师资队伍、设备设施、教材体系的建设。落地在学校层面，课程的实施路径是检验真正领悟文件精神与否的重要参考，如果还是以基础知识、纸笔定素养、专项特长的课程教学体系为主，把知识传授和技能训练当做是艺术教育全部的固化思维，这样功利化与技术化导致学生的身心健康受到伤害、艺术天赋和兴趣爱好被扼杀，这样的艺术教育就不是真正意义上的艺术教育，就不是美育。</w:t>
      </w:r>
    </w:p>
    <w:p>
      <w:pPr>
        <w:keepNext w:val="0"/>
        <w:keepLines w:val="0"/>
        <w:pageBreakBefore w:val="0"/>
        <w:widowControl/>
        <w:kinsoku w:val="0"/>
        <w:wordWrap/>
        <w:overflowPunct/>
        <w:topLinePunct w:val="0"/>
        <w:autoSpaceDE w:val="0"/>
        <w:autoSpaceDN w:val="0"/>
        <w:bidi w:val="0"/>
        <w:adjustRightInd w:val="0"/>
        <w:snapToGrid w:val="0"/>
        <w:spacing w:before="38" w:line="640" w:lineRule="exact"/>
        <w:ind w:left="5" w:right="90" w:firstLine="644"/>
        <w:jc w:val="both"/>
        <w:textAlignment w:val="baseline"/>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美育应从人类学中人的身心发育规律去进行，人在九岁以前是各种感观：动作、听觉、视觉、触觉很各种生理到心理发育的最重要最敏感时期，所以也是艺术教育发展最佳期，更是人类创造力发展的第一高峰期（加德纳语）。因此，在义务教育阶段，如果能够在不同学科教学中也能巧妙融入美育教学资源，具有美育意识，能够提升学生审美素养、陶冶情操、温润心灵、激发创新创造活力，那也是很好的美育。现在的艺术不是观赏时代，而是要让每个学生动起来，去参与，在做的过程中投入，体验、表现、创造，这样才能达到美育中感知、感觉、感情、感悟的培养目的，在实践的艺术活动中促进学生的身心健康成长。</w:t>
      </w:r>
    </w:p>
    <w:p>
      <w:pPr>
        <w:keepNext w:val="0"/>
        <w:keepLines w:val="0"/>
        <w:pageBreakBefore w:val="0"/>
        <w:widowControl/>
        <w:kinsoku w:val="0"/>
        <w:wordWrap/>
        <w:overflowPunct/>
        <w:topLinePunct w:val="0"/>
        <w:autoSpaceDE w:val="0"/>
        <w:autoSpaceDN w:val="0"/>
        <w:bidi w:val="0"/>
        <w:adjustRightInd w:val="0"/>
        <w:snapToGrid w:val="0"/>
        <w:spacing w:before="38" w:line="640" w:lineRule="exact"/>
        <w:ind w:right="90" w:firstLine="652" w:firstLineChars="200"/>
        <w:jc w:val="both"/>
        <w:textAlignment w:val="baseline"/>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结合《美育工作意见》，我们就会发现，“双减”的颁布、</w:t>
      </w:r>
    </w:p>
    <w:p>
      <w:pPr>
        <w:keepNext w:val="0"/>
        <w:keepLines w:val="0"/>
        <w:pageBreakBefore w:val="0"/>
        <w:widowControl/>
        <w:kinsoku w:val="0"/>
        <w:wordWrap/>
        <w:overflowPunct/>
        <w:topLinePunct w:val="0"/>
        <w:autoSpaceDE w:val="0"/>
        <w:autoSpaceDN w:val="0"/>
        <w:bidi w:val="0"/>
        <w:adjustRightInd w:val="0"/>
        <w:snapToGrid w:val="0"/>
        <w:spacing w:before="38" w:line="640" w:lineRule="exact"/>
        <w:ind w:right="90"/>
        <w:jc w:val="both"/>
        <w:textAlignment w:val="baseline"/>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实施与落地是遵循着教育的规律而产生的教育改革的必经之路。</w:t>
      </w:r>
    </w:p>
    <w:p>
      <w:pPr>
        <w:keepNext w:val="0"/>
        <w:keepLines w:val="0"/>
        <w:pageBreakBefore w:val="0"/>
        <w:widowControl/>
        <w:kinsoku w:val="0"/>
        <w:wordWrap/>
        <w:overflowPunct/>
        <w:topLinePunct w:val="0"/>
        <w:autoSpaceDE w:val="0"/>
        <w:autoSpaceDN w:val="0"/>
        <w:bidi w:val="0"/>
        <w:adjustRightInd w:val="0"/>
        <w:snapToGrid w:val="0"/>
        <w:spacing w:before="38" w:line="640" w:lineRule="exact"/>
        <w:ind w:right="90"/>
        <w:jc w:val="both"/>
        <w:textAlignment w:val="baseline"/>
        <w:rPr>
          <w:rFonts w:hint="eastAsia" w:ascii="仿宋" w:hAnsi="仿宋" w:eastAsia="仿宋" w:cs="仿宋"/>
          <w:spacing w:val="8"/>
          <w:sz w:val="31"/>
          <w:szCs w:val="31"/>
        </w:rPr>
      </w:pPr>
      <w:r>
        <w:rPr>
          <w:rFonts w:hint="eastAsia" w:ascii="仿宋" w:hAnsi="仿宋" w:eastAsia="仿宋" w:cs="仿宋"/>
          <w:spacing w:val="8"/>
          <w:sz w:val="31"/>
          <w:szCs w:val="31"/>
          <w:lang w:val="en-US" w:eastAsia="zh-CN"/>
        </w:rPr>
        <w:t>在</w:t>
      </w:r>
      <w:r>
        <w:rPr>
          <w:rFonts w:hint="eastAsia" w:ascii="仿宋" w:hAnsi="仿宋" w:eastAsia="仿宋" w:cs="仿宋"/>
          <w:spacing w:val="8"/>
          <w:sz w:val="31"/>
          <w:szCs w:val="31"/>
        </w:rPr>
        <w:t>2</w:t>
      </w:r>
      <w:r>
        <w:rPr>
          <w:rFonts w:ascii="仿宋" w:hAnsi="仿宋" w:eastAsia="仿宋" w:cs="仿宋"/>
          <w:spacing w:val="8"/>
          <w:sz w:val="31"/>
          <w:szCs w:val="31"/>
        </w:rPr>
        <w:t>021</w:t>
      </w:r>
      <w:r>
        <w:rPr>
          <w:rFonts w:hint="eastAsia" w:ascii="仿宋" w:hAnsi="仿宋" w:eastAsia="仿宋" w:cs="仿宋"/>
          <w:spacing w:val="8"/>
          <w:sz w:val="31"/>
          <w:szCs w:val="31"/>
        </w:rPr>
        <w:t>年7月2</w:t>
      </w:r>
      <w:r>
        <w:rPr>
          <w:rFonts w:ascii="仿宋" w:hAnsi="仿宋" w:eastAsia="仿宋" w:cs="仿宋"/>
          <w:spacing w:val="8"/>
          <w:sz w:val="31"/>
          <w:szCs w:val="31"/>
        </w:rPr>
        <w:t>4</w:t>
      </w:r>
      <w:r>
        <w:rPr>
          <w:rFonts w:hint="eastAsia" w:ascii="仿宋" w:hAnsi="仿宋" w:eastAsia="仿宋" w:cs="仿宋"/>
          <w:spacing w:val="8"/>
          <w:sz w:val="31"/>
          <w:szCs w:val="31"/>
        </w:rPr>
        <w:t>日，中共中央办公厅、国务院办公厅印发《关于进一步减轻义务教育阶段学生作业负担和校外培训负担的意见》</w:t>
      </w:r>
      <w:r>
        <w:rPr>
          <w:rFonts w:hint="eastAsia" w:ascii="仿宋" w:hAnsi="仿宋" w:eastAsia="仿宋" w:cs="仿宋"/>
          <w:spacing w:val="8"/>
          <w:sz w:val="31"/>
          <w:szCs w:val="31"/>
          <w:lang w:val="en-US" w:eastAsia="zh-CN"/>
        </w:rPr>
        <w:t>中提出，减少学生的作业负担，</w:t>
      </w:r>
      <w:r>
        <w:rPr>
          <w:rFonts w:hint="eastAsia" w:ascii="仿宋" w:hAnsi="仿宋" w:eastAsia="仿宋" w:cs="仿宋"/>
          <w:spacing w:val="8"/>
          <w:sz w:val="31"/>
          <w:szCs w:val="31"/>
        </w:rPr>
        <w:t>把时间适当分配给“非学科”（</w:t>
      </w:r>
      <w:r>
        <w:rPr>
          <w:rFonts w:ascii="仿宋" w:hAnsi="仿宋" w:eastAsia="仿宋" w:cs="仿宋"/>
          <w:spacing w:val="8"/>
          <w:sz w:val="31"/>
          <w:szCs w:val="31"/>
        </w:rPr>
        <w:t xml:space="preserve"> 音乐、艺术、体育类）教育，在校期间能够积极参与艺术实践活动，以增强孩子的自信心，让孩子健康快乐成长</w:t>
      </w:r>
      <w:r>
        <w:rPr>
          <w:rFonts w:hint="eastAsia" w:ascii="仿宋" w:hAnsi="仿宋" w:eastAsia="仿宋" w:cs="仿宋"/>
          <w:spacing w:val="8"/>
          <w:sz w:val="31"/>
          <w:szCs w:val="31"/>
          <w:lang w:eastAsia="zh-CN"/>
        </w:rPr>
        <w:t>，</w:t>
      </w:r>
      <w:r>
        <w:rPr>
          <w:rFonts w:hint="eastAsia" w:ascii="仿宋" w:hAnsi="仿宋" w:eastAsia="仿宋" w:cs="仿宋"/>
          <w:spacing w:val="8"/>
          <w:sz w:val="31"/>
          <w:szCs w:val="31"/>
          <w:lang w:val="en-US" w:eastAsia="zh-CN"/>
        </w:rPr>
        <w:t>以达到以美育人的目标</w:t>
      </w:r>
      <w:r>
        <w:rPr>
          <w:rFonts w:ascii="仿宋" w:hAnsi="仿宋" w:eastAsia="仿宋" w:cs="仿宋"/>
          <w:spacing w:val="8"/>
          <w:sz w:val="31"/>
          <w:szCs w:val="31"/>
        </w:rPr>
        <w:t>。</w:t>
      </w:r>
      <w:r>
        <w:rPr>
          <w:rFonts w:hint="eastAsia" w:ascii="仿宋" w:hAnsi="仿宋" w:eastAsia="仿宋" w:cs="仿宋"/>
          <w:spacing w:val="8"/>
          <w:sz w:val="31"/>
          <w:szCs w:val="31"/>
          <w:lang w:val="en-US" w:eastAsia="zh-CN"/>
        </w:rPr>
        <w:t>这里要特别注意，这样的活动不能被</w:t>
      </w:r>
      <w:r>
        <w:rPr>
          <w:rFonts w:hint="eastAsia" w:ascii="仿宋" w:hAnsi="仿宋" w:eastAsia="仿宋" w:cs="仿宋"/>
          <w:spacing w:val="8"/>
          <w:sz w:val="31"/>
          <w:szCs w:val="31"/>
        </w:rPr>
        <w:t>功利和技术所折腾和绑架，无论是课堂教学还是课外活动，特别是艺术展演，功利化、技术化倾向较为普遍地存在，有的时候我们甚至不只是没有育人，反而因为一味的功利化追求和枯燥的技术化训练而伤人。</w:t>
      </w:r>
      <w:r>
        <w:rPr>
          <w:rFonts w:ascii="仿宋" w:hAnsi="仿宋" w:eastAsia="仿宋" w:cs="仿宋"/>
          <w:spacing w:val="8"/>
          <w:sz w:val="31"/>
          <w:szCs w:val="31"/>
        </w:rPr>
        <w:t>而减少校外学科内培训的政策则是鼓励学生利用课余时间，自我提升艺术修养。并且，减轻学生过重作业负担的另一个有效促进手段就是进一步提升课后服务水平，其中包含了通过开展丰富多彩的科普、文体、艺术、劳动、阅读、兴趣小组及社团活动，丰富学生的学习生活。</w:t>
      </w:r>
      <w:r>
        <w:rPr>
          <w:rFonts w:hint="eastAsia" w:ascii="仿宋" w:hAnsi="仿宋" w:eastAsia="仿宋" w:cs="仿宋"/>
          <w:spacing w:val="8"/>
          <w:sz w:val="31"/>
          <w:szCs w:val="31"/>
          <w:lang w:val="en-US" w:eastAsia="zh-CN"/>
        </w:rPr>
        <w:t>课堂中与课后的美育课程的开展模式可以与</w:t>
      </w:r>
      <w:r>
        <w:rPr>
          <w:rFonts w:hint="eastAsia" w:ascii="仿宋" w:hAnsi="仿宋" w:eastAsia="仿宋" w:cs="仿宋"/>
          <w:spacing w:val="8"/>
          <w:sz w:val="31"/>
          <w:szCs w:val="31"/>
        </w:rPr>
        <w:t>两办《意见》提出的“艺术基础知识基本技能+艺术审美体验+艺术专项特长”这一教学模式</w:t>
      </w:r>
      <w:r>
        <w:rPr>
          <w:rFonts w:hint="eastAsia" w:ascii="仿宋" w:hAnsi="仿宋" w:eastAsia="仿宋" w:cs="仿宋"/>
          <w:spacing w:val="8"/>
          <w:sz w:val="31"/>
          <w:szCs w:val="31"/>
          <w:lang w:val="en-US" w:eastAsia="zh-CN"/>
        </w:rPr>
        <w:t>结合</w:t>
      </w:r>
      <w:r>
        <w:rPr>
          <w:rFonts w:hint="eastAsia" w:ascii="仿宋" w:hAnsi="仿宋" w:eastAsia="仿宋" w:cs="仿宋"/>
          <w:spacing w:val="8"/>
          <w:sz w:val="31"/>
          <w:szCs w:val="31"/>
        </w:rPr>
        <w:t>，在这里相“+”并非简单拼凑，单向而行，而是以艺术审美体验为中心环节，三者融为一体，相辅相成，学以致用，共同构成完整的美育教学活动。</w:t>
      </w:r>
      <w:r>
        <w:rPr>
          <w:rFonts w:ascii="仿宋" w:hAnsi="仿宋" w:eastAsia="仿宋" w:cs="仿宋"/>
          <w:spacing w:val="8"/>
          <w:sz w:val="31"/>
          <w:szCs w:val="31"/>
        </w:rPr>
        <w:t>“双减”政策的实施，加上国家大力扶持美育，对家长而言，孩子综合素质的培养无疑才是正确之路；于孩子而言，提高对美的感知，对其情商提高、心态塑造都会有十分重要的积极影响</w:t>
      </w:r>
      <w:r>
        <w:rPr>
          <w:rFonts w:hint="eastAsia" w:ascii="仿宋" w:hAnsi="仿宋" w:eastAsia="仿宋" w:cs="仿宋"/>
          <w:spacing w:val="8"/>
          <w:sz w:val="31"/>
          <w:szCs w:val="31"/>
        </w:rPr>
        <w:t>；对音乐老师而言，除</w:t>
      </w:r>
    </w:p>
    <w:p>
      <w:pPr>
        <w:keepNext w:val="0"/>
        <w:keepLines w:val="0"/>
        <w:pageBreakBefore w:val="0"/>
        <w:widowControl/>
        <w:kinsoku w:val="0"/>
        <w:wordWrap/>
        <w:overflowPunct/>
        <w:topLinePunct w:val="0"/>
        <w:autoSpaceDE w:val="0"/>
        <w:autoSpaceDN w:val="0"/>
        <w:bidi w:val="0"/>
        <w:adjustRightInd w:val="0"/>
        <w:snapToGrid w:val="0"/>
        <w:spacing w:before="38" w:line="640" w:lineRule="exact"/>
        <w:ind w:right="90"/>
        <w:jc w:val="both"/>
        <w:textAlignment w:val="baseline"/>
        <w:rPr>
          <w:rFonts w:hint="eastAsia" w:ascii="仿宋" w:hAnsi="仿宋" w:eastAsia="仿宋" w:cs="仿宋"/>
          <w:spacing w:val="8"/>
          <w:sz w:val="31"/>
          <w:szCs w:val="31"/>
        </w:rPr>
      </w:pPr>
    </w:p>
    <w:p>
      <w:pPr>
        <w:keepNext w:val="0"/>
        <w:keepLines w:val="0"/>
        <w:pageBreakBefore w:val="0"/>
        <w:widowControl/>
        <w:kinsoku w:val="0"/>
        <w:wordWrap/>
        <w:overflowPunct/>
        <w:topLinePunct w:val="0"/>
        <w:autoSpaceDE w:val="0"/>
        <w:autoSpaceDN w:val="0"/>
        <w:bidi w:val="0"/>
        <w:adjustRightInd w:val="0"/>
        <w:snapToGrid w:val="0"/>
        <w:spacing w:before="38" w:line="640" w:lineRule="exact"/>
        <w:ind w:right="90"/>
        <w:jc w:val="both"/>
        <w:textAlignment w:val="baseline"/>
        <w:rPr>
          <w:rFonts w:ascii="Arial"/>
          <w:sz w:val="21"/>
        </w:rPr>
      </w:pPr>
      <w:r>
        <w:rPr>
          <w:rFonts w:hint="eastAsia" w:ascii="仿宋" w:hAnsi="仿宋" w:eastAsia="仿宋" w:cs="仿宋"/>
          <w:spacing w:val="8"/>
          <w:sz w:val="31"/>
          <w:szCs w:val="31"/>
        </w:rPr>
        <w:t>了扎实上好满足学生的审美需求、提高音乐素养的常规音乐课以外，在音乐作业的布置上也需要精心设计，这既是一个机，也伴随着极大的挑战，如何乘着改革的春风，播撒美育的种子，结出培养完整的“人”的果实，是所有的教育者当下应该思考的问题。</w:t>
      </w:r>
    </w:p>
    <w:bookmarkEnd w:id="0"/>
    <w:p>
      <w:pPr>
        <w:keepNext w:val="0"/>
        <w:keepLines w:val="0"/>
        <w:pageBreakBefore w:val="0"/>
        <w:widowControl/>
        <w:kinsoku w:val="0"/>
        <w:wordWrap/>
        <w:overflowPunct/>
        <w:topLinePunct w:val="0"/>
        <w:autoSpaceDE w:val="0"/>
        <w:autoSpaceDN w:val="0"/>
        <w:bidi w:val="0"/>
        <w:adjustRightInd w:val="0"/>
        <w:snapToGrid w:val="0"/>
        <w:spacing w:line="640" w:lineRule="exact"/>
        <w:jc w:val="both"/>
        <w:textAlignment w:val="baseline"/>
      </w:pPr>
      <w:r>
        <w:drawing>
          <wp:anchor distT="0" distB="0" distL="0" distR="0" simplePos="0" relativeHeight="251662336" behindDoc="0" locked="0" layoutInCell="0" allowOverlap="1">
            <wp:simplePos x="0" y="0"/>
            <wp:positionH relativeFrom="page">
              <wp:posOffset>4063365</wp:posOffset>
            </wp:positionH>
            <wp:positionV relativeFrom="page">
              <wp:posOffset>3523615</wp:posOffset>
            </wp:positionV>
            <wp:extent cx="2277110" cy="1402715"/>
            <wp:effectExtent l="0" t="0" r="8890" b="6985"/>
            <wp:wrapTopAndBottom/>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9"/>
                    <a:stretch>
                      <a:fillRect/>
                    </a:stretch>
                  </pic:blipFill>
                  <pic:spPr>
                    <a:xfrm>
                      <a:off x="0" y="0"/>
                      <a:ext cx="2277110" cy="1402715"/>
                    </a:xfrm>
                    <a:prstGeom prst="rect">
                      <a:avLst/>
                    </a:prstGeom>
                  </pic:spPr>
                </pic:pic>
              </a:graphicData>
            </a:graphic>
          </wp:anchor>
        </w:drawing>
      </w:r>
      <w:r>
        <w:drawing>
          <wp:anchor distT="0" distB="0" distL="0" distR="0" simplePos="0" relativeHeight="251663360" behindDoc="0" locked="0" layoutInCell="1" allowOverlap="1">
            <wp:simplePos x="0" y="0"/>
            <wp:positionH relativeFrom="column">
              <wp:posOffset>2327275</wp:posOffset>
            </wp:positionH>
            <wp:positionV relativeFrom="page">
              <wp:posOffset>5654040</wp:posOffset>
            </wp:positionV>
            <wp:extent cx="1536700" cy="1183640"/>
            <wp:effectExtent l="0" t="0" r="6350" b="16510"/>
            <wp:wrapTopAndBottom/>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0"/>
                    <a:stretch>
                      <a:fillRect/>
                    </a:stretch>
                  </pic:blipFill>
                  <pic:spPr>
                    <a:xfrm>
                      <a:off x="0" y="0"/>
                      <a:ext cx="1536700" cy="1183640"/>
                    </a:xfrm>
                    <a:prstGeom prst="rect">
                      <a:avLst/>
                    </a:prstGeom>
                  </pic:spPr>
                </pic:pic>
              </a:graphicData>
            </a:graphic>
          </wp:anchor>
        </w:drawing>
      </w:r>
      <w:r>
        <w:drawing>
          <wp:anchor distT="0" distB="0" distL="0" distR="0" simplePos="0" relativeHeight="251659264" behindDoc="0" locked="0" layoutInCell="1" allowOverlap="1">
            <wp:simplePos x="0" y="0"/>
            <wp:positionH relativeFrom="column">
              <wp:posOffset>440690</wp:posOffset>
            </wp:positionH>
            <wp:positionV relativeFrom="page">
              <wp:posOffset>3390900</wp:posOffset>
            </wp:positionV>
            <wp:extent cx="2107565" cy="1583055"/>
            <wp:effectExtent l="0" t="0" r="6985" b="17145"/>
            <wp:wrapTopAndBottom/>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1"/>
                    <a:stretch>
                      <a:fillRect/>
                    </a:stretch>
                  </pic:blipFill>
                  <pic:spPr>
                    <a:xfrm>
                      <a:off x="0" y="0"/>
                      <a:ext cx="2107565" cy="1583435"/>
                    </a:xfrm>
                    <a:prstGeom prst="rect">
                      <a:avLst/>
                    </a:prstGeom>
                  </pic:spPr>
                </pic:pic>
              </a:graphicData>
            </a:graphic>
          </wp:anchor>
        </w:drawing>
      </w:r>
    </w:p>
    <w:p>
      <w:pPr>
        <w:keepNext w:val="0"/>
        <w:keepLines w:val="0"/>
        <w:pageBreakBefore w:val="0"/>
        <w:widowControl/>
        <w:kinsoku w:val="0"/>
        <w:wordWrap/>
        <w:overflowPunct/>
        <w:topLinePunct w:val="0"/>
        <w:autoSpaceDE w:val="0"/>
        <w:autoSpaceDN w:val="0"/>
        <w:bidi w:val="0"/>
        <w:adjustRightInd w:val="0"/>
        <w:snapToGrid w:val="0"/>
        <w:spacing w:line="640" w:lineRule="exact"/>
        <w:jc w:val="both"/>
        <w:textAlignment w:val="baseline"/>
      </w:pPr>
      <w:r>
        <w:drawing>
          <wp:anchor distT="0" distB="0" distL="0" distR="0" simplePos="0" relativeHeight="251660288" behindDoc="0" locked="0" layoutInCell="1" allowOverlap="1">
            <wp:simplePos x="0" y="0"/>
            <wp:positionH relativeFrom="column">
              <wp:posOffset>56515</wp:posOffset>
            </wp:positionH>
            <wp:positionV relativeFrom="page">
              <wp:posOffset>5451475</wp:posOffset>
            </wp:positionV>
            <wp:extent cx="1839595" cy="1527175"/>
            <wp:effectExtent l="0" t="0" r="8255" b="15875"/>
            <wp:wrapTopAndBottom/>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12"/>
                    <a:stretch>
                      <a:fillRect/>
                    </a:stretch>
                  </pic:blipFill>
                  <pic:spPr>
                    <a:xfrm>
                      <a:off x="0" y="0"/>
                      <a:ext cx="1839595" cy="1527175"/>
                    </a:xfrm>
                    <a:prstGeom prst="rect">
                      <a:avLst/>
                    </a:prstGeom>
                  </pic:spPr>
                </pic:pic>
              </a:graphicData>
            </a:graphic>
          </wp:anchor>
        </w:drawing>
      </w:r>
      <w:r>
        <w:drawing>
          <wp:anchor distT="0" distB="0" distL="0" distR="0" simplePos="0" relativeHeight="251666432" behindDoc="0" locked="0" layoutInCell="1" allowOverlap="1">
            <wp:simplePos x="0" y="0"/>
            <wp:positionH relativeFrom="column">
              <wp:posOffset>3895725</wp:posOffset>
            </wp:positionH>
            <wp:positionV relativeFrom="page">
              <wp:posOffset>7331710</wp:posOffset>
            </wp:positionV>
            <wp:extent cx="1830070" cy="1527175"/>
            <wp:effectExtent l="0" t="0" r="17780" b="15875"/>
            <wp:wrapTopAndBottom/>
            <wp:docPr id="16" name="IM 5"/>
            <wp:cNvGraphicFramePr/>
            <a:graphic xmlns:a="http://schemas.openxmlformats.org/drawingml/2006/main">
              <a:graphicData uri="http://schemas.openxmlformats.org/drawingml/2006/picture">
                <pic:pic xmlns:pic="http://schemas.openxmlformats.org/drawingml/2006/picture">
                  <pic:nvPicPr>
                    <pic:cNvPr id="16" name="IM 5"/>
                    <pic:cNvPicPr/>
                  </pic:nvPicPr>
                  <pic:blipFill>
                    <a:blip r:embed="rId12"/>
                    <a:stretch>
                      <a:fillRect/>
                    </a:stretch>
                  </pic:blipFill>
                  <pic:spPr>
                    <a:xfrm>
                      <a:off x="0" y="0"/>
                      <a:ext cx="1830070" cy="1527175"/>
                    </a:xfrm>
                    <a:prstGeom prst="rect">
                      <a:avLst/>
                    </a:prstGeom>
                  </pic:spPr>
                </pic:pic>
              </a:graphicData>
            </a:graphic>
          </wp:anchor>
        </w:drawing>
      </w:r>
      <w:r>
        <w:drawing>
          <wp:anchor distT="0" distB="0" distL="0" distR="0" simplePos="0" relativeHeight="251661312" behindDoc="0" locked="0" layoutInCell="0" allowOverlap="1">
            <wp:simplePos x="0" y="0"/>
            <wp:positionH relativeFrom="page">
              <wp:posOffset>5485765</wp:posOffset>
            </wp:positionH>
            <wp:positionV relativeFrom="page">
              <wp:posOffset>5447665</wp:posOffset>
            </wp:positionV>
            <wp:extent cx="1374775" cy="1136015"/>
            <wp:effectExtent l="0" t="0" r="15875" b="6985"/>
            <wp:wrapTopAndBottom/>
            <wp:docPr id="3" name="IM 8"/>
            <wp:cNvGraphicFramePr/>
            <a:graphic xmlns:a="http://schemas.openxmlformats.org/drawingml/2006/main">
              <a:graphicData uri="http://schemas.openxmlformats.org/drawingml/2006/picture">
                <pic:pic xmlns:pic="http://schemas.openxmlformats.org/drawingml/2006/picture">
                  <pic:nvPicPr>
                    <pic:cNvPr id="3" name="IM 8"/>
                    <pic:cNvPicPr/>
                  </pic:nvPicPr>
                  <pic:blipFill>
                    <a:blip r:embed="rId13"/>
                    <a:stretch>
                      <a:fillRect/>
                    </a:stretch>
                  </pic:blipFill>
                  <pic:spPr>
                    <a:xfrm>
                      <a:off x="0" y="0"/>
                      <a:ext cx="1374775" cy="1136015"/>
                    </a:xfrm>
                    <a:prstGeom prst="rect">
                      <a:avLst/>
                    </a:prstGeom>
                  </pic:spPr>
                </pic:pic>
              </a:graphicData>
            </a:graphic>
          </wp:anchor>
        </w:drawing>
      </w:r>
    </w:p>
    <w:p>
      <w:pPr>
        <w:spacing w:line="257" w:lineRule="auto"/>
        <w:rPr>
          <w:rFonts w:ascii="Arial"/>
          <w:sz w:val="21"/>
        </w:rPr>
      </w:pPr>
      <w:r>
        <w:drawing>
          <wp:anchor distT="0" distB="0" distL="0" distR="0" simplePos="0" relativeHeight="251664384" behindDoc="0" locked="0" layoutInCell="1" allowOverlap="1">
            <wp:simplePos x="0" y="0"/>
            <wp:positionH relativeFrom="column">
              <wp:posOffset>1853565</wp:posOffset>
            </wp:positionH>
            <wp:positionV relativeFrom="paragraph">
              <wp:posOffset>1896110</wp:posOffset>
            </wp:positionV>
            <wp:extent cx="1819275" cy="1439545"/>
            <wp:effectExtent l="0" t="0" r="9525" b="8255"/>
            <wp:wrapTopAndBottom/>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r:embed="rId14"/>
                    <a:stretch>
                      <a:fillRect/>
                    </a:stretch>
                  </pic:blipFill>
                  <pic:spPr>
                    <a:xfrm>
                      <a:off x="0" y="0"/>
                      <a:ext cx="1819275" cy="1440179"/>
                    </a:xfrm>
                    <a:prstGeom prst="rect">
                      <a:avLst/>
                    </a:prstGeom>
                  </pic:spPr>
                </pic:pic>
              </a:graphicData>
            </a:graphic>
          </wp:anchor>
        </w:drawing>
      </w:r>
    </w:p>
    <w:p>
      <w:pPr>
        <w:spacing w:line="257" w:lineRule="auto"/>
        <w:rPr>
          <w:rFonts w:ascii="Arial"/>
          <w:sz w:val="21"/>
        </w:rPr>
      </w:pPr>
      <w:r>
        <w:drawing>
          <wp:anchor distT="0" distB="0" distL="0" distR="0" simplePos="0" relativeHeight="251665408" behindDoc="0" locked="0" layoutInCell="1" allowOverlap="1">
            <wp:simplePos x="0" y="0"/>
            <wp:positionH relativeFrom="column">
              <wp:posOffset>-57785</wp:posOffset>
            </wp:positionH>
            <wp:positionV relativeFrom="paragraph">
              <wp:posOffset>191770</wp:posOffset>
            </wp:positionV>
            <wp:extent cx="1466215" cy="1259840"/>
            <wp:effectExtent l="0" t="0" r="635" b="16510"/>
            <wp:wrapTopAndBottom/>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r:embed="rId15"/>
                    <a:stretch>
                      <a:fillRect/>
                    </a:stretch>
                  </pic:blipFill>
                  <pic:spPr>
                    <a:xfrm>
                      <a:off x="0" y="0"/>
                      <a:ext cx="1466215" cy="1259840"/>
                    </a:xfrm>
                    <a:prstGeom prst="rect">
                      <a:avLst/>
                    </a:prstGeom>
                  </pic:spPr>
                </pic:pic>
              </a:graphicData>
            </a:graphic>
          </wp:anchor>
        </w:drawing>
      </w:r>
    </w:p>
    <w:p>
      <w:pPr>
        <w:sectPr>
          <w:footerReference r:id="rId5" w:type="default"/>
          <w:pgSz w:w="11920" w:h="16850"/>
          <w:pgMar w:top="1423" w:right="1521" w:bottom="1" w:left="1599"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before="38" w:line="640" w:lineRule="exact"/>
        <w:ind w:right="90" w:firstLine="652" w:firstLineChars="200"/>
        <w:jc w:val="both"/>
        <w:textAlignment w:val="baseline"/>
        <w:rPr>
          <w:rFonts w:hint="eastAsia" w:ascii="仿宋" w:hAnsi="仿宋" w:eastAsia="仿宋" w:cs="仿宋"/>
          <w:spacing w:val="8"/>
          <w:sz w:val="31"/>
          <w:szCs w:val="31"/>
        </w:rPr>
      </w:pPr>
      <w:r>
        <w:rPr>
          <w:rFonts w:hint="eastAsia" w:ascii="仿宋" w:hAnsi="仿宋" w:eastAsia="仿宋" w:cs="仿宋"/>
          <w:spacing w:val="8"/>
          <w:sz w:val="31"/>
          <w:szCs w:val="31"/>
        </w:rPr>
        <w:t>本次网络研修工作室各位学员非常认真，收获满满，相信有 为一定有位。导师陈双鼓励大家一定要多读书、读真书、真读书， 勉励大家“业精于勤荒于嬉，行成于思毁于随。 ”</w:t>
      </w:r>
    </w:p>
    <w:p>
      <w:pPr>
        <w:spacing w:before="174" w:line="156" w:lineRule="exact"/>
        <w:ind w:firstLine="80"/>
        <w:textAlignment w:val="center"/>
      </w:pPr>
    </w:p>
    <w:p>
      <w:pPr>
        <w:spacing w:line="290" w:lineRule="auto"/>
        <w:rPr>
          <w:rFonts w:ascii="Arial"/>
          <w:sz w:val="21"/>
        </w:rPr>
      </w:pPr>
    </w:p>
    <w:p>
      <w:pPr>
        <w:spacing w:line="290" w:lineRule="auto"/>
        <w:rPr>
          <w:rFonts w:ascii="Arial"/>
          <w:sz w:val="21"/>
        </w:rPr>
      </w:pPr>
    </w:p>
    <w:p>
      <w:pPr>
        <w:spacing w:line="290" w:lineRule="auto"/>
        <w:rPr>
          <w:rFonts w:ascii="Arial"/>
          <w:sz w:val="21"/>
        </w:rPr>
      </w:pPr>
    </w:p>
    <w:p>
      <w:pPr>
        <w:spacing w:before="101" w:line="228" w:lineRule="auto"/>
        <w:rPr>
          <w:rFonts w:ascii="仿宋" w:hAnsi="仿宋" w:eastAsia="仿宋" w:cs="仿宋"/>
          <w:spacing w:val="16"/>
          <w:sz w:val="31"/>
          <w:szCs w:val="31"/>
        </w:rPr>
      </w:pPr>
    </w:p>
    <w:p>
      <w:pPr>
        <w:spacing w:before="101" w:line="228" w:lineRule="auto"/>
        <w:rPr>
          <w:rFonts w:ascii="仿宋" w:hAnsi="仿宋" w:eastAsia="仿宋" w:cs="仿宋"/>
          <w:spacing w:val="16"/>
          <w:sz w:val="31"/>
          <w:szCs w:val="31"/>
        </w:rPr>
      </w:pPr>
    </w:p>
    <w:p>
      <w:pPr>
        <w:spacing w:before="101" w:line="228" w:lineRule="auto"/>
        <w:rPr>
          <w:rFonts w:ascii="仿宋" w:hAnsi="仿宋" w:eastAsia="仿宋" w:cs="仿宋"/>
          <w:spacing w:val="16"/>
          <w:sz w:val="31"/>
          <w:szCs w:val="31"/>
        </w:rPr>
      </w:pPr>
    </w:p>
    <w:p>
      <w:pPr>
        <w:spacing w:before="101" w:line="228" w:lineRule="auto"/>
        <w:rPr>
          <w:rFonts w:ascii="仿宋" w:hAnsi="仿宋" w:eastAsia="仿宋" w:cs="仿宋"/>
          <w:spacing w:val="16"/>
          <w:sz w:val="31"/>
          <w:szCs w:val="31"/>
        </w:rPr>
      </w:pPr>
    </w:p>
    <w:p>
      <w:pPr>
        <w:spacing w:before="101" w:line="228" w:lineRule="auto"/>
        <w:rPr>
          <w:rFonts w:ascii="仿宋" w:hAnsi="仿宋" w:eastAsia="仿宋" w:cs="仿宋"/>
          <w:spacing w:val="16"/>
          <w:sz w:val="31"/>
          <w:szCs w:val="31"/>
        </w:rPr>
      </w:pPr>
    </w:p>
    <w:p>
      <w:pPr>
        <w:spacing w:before="101" w:line="228" w:lineRule="auto"/>
        <w:rPr>
          <w:rFonts w:ascii="仿宋" w:hAnsi="仿宋" w:eastAsia="仿宋" w:cs="仿宋"/>
          <w:spacing w:val="16"/>
          <w:sz w:val="31"/>
          <w:szCs w:val="31"/>
        </w:rPr>
      </w:pPr>
    </w:p>
    <w:p>
      <w:pPr>
        <w:spacing w:before="101" w:line="228" w:lineRule="auto"/>
        <w:rPr>
          <w:rFonts w:ascii="仿宋" w:hAnsi="仿宋" w:eastAsia="仿宋" w:cs="仿宋"/>
          <w:spacing w:val="16"/>
          <w:sz w:val="31"/>
          <w:szCs w:val="31"/>
        </w:rPr>
      </w:pPr>
    </w:p>
    <w:p>
      <w:pPr>
        <w:spacing w:before="101" w:line="228" w:lineRule="auto"/>
        <w:rPr>
          <w:rFonts w:ascii="仿宋" w:hAnsi="仿宋" w:eastAsia="仿宋" w:cs="仿宋"/>
          <w:spacing w:val="16"/>
          <w:sz w:val="31"/>
          <w:szCs w:val="31"/>
        </w:rPr>
      </w:pPr>
    </w:p>
    <w:p>
      <w:pPr>
        <w:spacing w:before="101" w:line="228" w:lineRule="auto"/>
        <w:rPr>
          <w:rFonts w:ascii="仿宋" w:hAnsi="仿宋" w:eastAsia="仿宋" w:cs="仿宋"/>
          <w:spacing w:val="16"/>
          <w:sz w:val="31"/>
          <w:szCs w:val="31"/>
        </w:rPr>
      </w:pPr>
    </w:p>
    <w:p>
      <w:pPr>
        <w:spacing w:before="101" w:line="228" w:lineRule="auto"/>
        <w:rPr>
          <w:rFonts w:ascii="仿宋" w:hAnsi="仿宋" w:eastAsia="仿宋" w:cs="仿宋"/>
          <w:spacing w:val="16"/>
          <w:sz w:val="31"/>
          <w:szCs w:val="31"/>
        </w:rPr>
      </w:pPr>
    </w:p>
    <w:p>
      <w:pPr>
        <w:spacing w:before="101" w:line="228" w:lineRule="auto"/>
        <w:rPr>
          <w:rFonts w:ascii="仿宋" w:hAnsi="仿宋" w:eastAsia="仿宋" w:cs="仿宋"/>
          <w:spacing w:val="16"/>
          <w:sz w:val="31"/>
          <w:szCs w:val="31"/>
        </w:rPr>
      </w:pPr>
    </w:p>
    <w:p>
      <w:pPr>
        <w:spacing w:before="101" w:line="228" w:lineRule="auto"/>
        <w:rPr>
          <w:rFonts w:ascii="仿宋" w:hAnsi="仿宋" w:eastAsia="仿宋" w:cs="仿宋"/>
          <w:spacing w:val="16"/>
          <w:sz w:val="31"/>
          <w:szCs w:val="31"/>
        </w:rPr>
      </w:pPr>
    </w:p>
    <w:p>
      <w:pPr>
        <w:spacing w:before="101" w:line="228" w:lineRule="auto"/>
        <w:rPr>
          <w:rFonts w:ascii="仿宋" w:hAnsi="仿宋" w:eastAsia="仿宋" w:cs="仿宋"/>
          <w:spacing w:val="16"/>
          <w:sz w:val="31"/>
          <w:szCs w:val="31"/>
        </w:rPr>
      </w:pPr>
    </w:p>
    <w:p>
      <w:pPr>
        <w:spacing w:before="101" w:line="228" w:lineRule="auto"/>
        <w:rPr>
          <w:rFonts w:ascii="仿宋" w:hAnsi="仿宋" w:eastAsia="仿宋" w:cs="仿宋"/>
          <w:spacing w:val="16"/>
          <w:sz w:val="31"/>
          <w:szCs w:val="31"/>
        </w:rPr>
      </w:pPr>
    </w:p>
    <w:p>
      <w:pPr>
        <w:spacing w:before="101" w:line="228" w:lineRule="auto"/>
        <w:rPr>
          <w:rFonts w:ascii="仿宋" w:hAnsi="仿宋" w:eastAsia="仿宋" w:cs="仿宋"/>
          <w:spacing w:val="16"/>
          <w:sz w:val="31"/>
          <w:szCs w:val="31"/>
        </w:rPr>
      </w:pPr>
    </w:p>
    <w:p>
      <w:pPr>
        <w:spacing w:before="101" w:line="228" w:lineRule="auto"/>
        <w:rPr>
          <w:rFonts w:ascii="仿宋" w:hAnsi="仿宋" w:eastAsia="仿宋" w:cs="仿宋"/>
          <w:spacing w:val="16"/>
          <w:sz w:val="31"/>
          <w:szCs w:val="31"/>
        </w:rPr>
      </w:pPr>
      <w:r>
        <w:drawing>
          <wp:inline distT="0" distB="0" distL="0" distR="0">
            <wp:extent cx="5417820" cy="98425"/>
            <wp:effectExtent l="0" t="0" r="11430" b="15875"/>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6"/>
                    <a:stretch>
                      <a:fillRect/>
                    </a:stretch>
                  </pic:blipFill>
                  <pic:spPr>
                    <a:xfrm>
                      <a:off x="0" y="0"/>
                      <a:ext cx="5417820" cy="99059"/>
                    </a:xfrm>
                    <a:prstGeom prst="rect">
                      <a:avLst/>
                    </a:prstGeom>
                  </pic:spPr>
                </pic:pic>
              </a:graphicData>
            </a:graphic>
          </wp:inline>
        </w:drawing>
      </w:r>
    </w:p>
    <w:p>
      <w:pPr>
        <w:spacing w:before="101" w:line="228" w:lineRule="auto"/>
        <w:rPr>
          <w:rFonts w:ascii="仿宋" w:hAnsi="仿宋" w:eastAsia="仿宋" w:cs="仿宋"/>
          <w:sz w:val="31"/>
          <w:szCs w:val="31"/>
        </w:rPr>
      </w:pPr>
      <w:r>
        <w:rPr>
          <w:rFonts w:ascii="仿宋" w:hAnsi="仿宋" w:eastAsia="仿宋" w:cs="仿宋"/>
          <w:spacing w:val="16"/>
          <w:sz w:val="31"/>
          <w:szCs w:val="31"/>
        </w:rPr>
        <w:t>报</w:t>
      </w:r>
      <w:r>
        <w:rPr>
          <w:rFonts w:ascii="仿宋" w:hAnsi="仿宋" w:eastAsia="仿宋" w:cs="仿宋"/>
          <w:spacing w:val="9"/>
          <w:sz w:val="31"/>
          <w:szCs w:val="31"/>
        </w:rPr>
        <w:t>：</w:t>
      </w:r>
      <w:r>
        <w:rPr>
          <w:rFonts w:ascii="仿宋" w:hAnsi="仿宋" w:eastAsia="仿宋" w:cs="仿宋"/>
          <w:spacing w:val="8"/>
          <w:sz w:val="31"/>
          <w:szCs w:val="31"/>
        </w:rPr>
        <w:t>成都市双流区名师工作室管理办</w:t>
      </w:r>
    </w:p>
    <w:p>
      <w:pPr>
        <w:spacing w:before="114" w:line="225" w:lineRule="auto"/>
        <w:ind w:left="9"/>
        <w:rPr>
          <w:rFonts w:ascii="仿宋" w:hAnsi="仿宋" w:eastAsia="仿宋" w:cs="仿宋"/>
          <w:sz w:val="31"/>
          <w:szCs w:val="31"/>
        </w:rPr>
      </w:pPr>
      <w:r>
        <w:rPr>
          <w:rFonts w:ascii="仿宋" w:hAnsi="仿宋" w:eastAsia="仿宋" w:cs="仿宋"/>
          <w:spacing w:val="4"/>
          <w:sz w:val="31"/>
          <w:szCs w:val="31"/>
        </w:rPr>
        <w:t xml:space="preserve">送： </w:t>
      </w:r>
      <w:r>
        <w:rPr>
          <w:rFonts w:ascii="仿宋" w:hAnsi="仿宋" w:eastAsia="仿宋" w:cs="仿宋"/>
          <w:spacing w:val="2"/>
          <w:sz w:val="31"/>
          <w:szCs w:val="31"/>
        </w:rPr>
        <w:t xml:space="preserve"> 学员所在各中小学校  发：工作室所有成员、学员</w:t>
      </w:r>
    </w:p>
    <w:p>
      <w:pPr>
        <w:spacing w:before="277" w:line="630" w:lineRule="auto"/>
        <w:ind w:left="5" w:right="1239" w:hanging="2"/>
        <w:rPr>
          <w:rFonts w:ascii="仿宋" w:hAnsi="仿宋" w:eastAsia="仿宋" w:cs="仿宋"/>
          <w:sz w:val="28"/>
          <w:szCs w:val="28"/>
        </w:rPr>
      </w:pPr>
      <w:r>
        <w:rPr>
          <w:rFonts w:ascii="仿宋" w:hAnsi="仿宋" w:eastAsia="仿宋" w:cs="仿宋"/>
          <w:spacing w:val="8"/>
          <w:sz w:val="31"/>
          <w:szCs w:val="31"/>
        </w:rPr>
        <w:t>编</w:t>
      </w:r>
      <w:r>
        <w:rPr>
          <w:rFonts w:ascii="仿宋" w:hAnsi="仿宋" w:eastAsia="仿宋" w:cs="仿宋"/>
          <w:spacing w:val="7"/>
          <w:sz w:val="31"/>
          <w:szCs w:val="31"/>
        </w:rPr>
        <w:t>辑：</w:t>
      </w:r>
      <w:r>
        <w:rPr>
          <w:rFonts w:hint="eastAsia" w:ascii="仿宋" w:hAnsi="仿宋" w:eastAsia="仿宋" w:cs="仿宋"/>
          <w:spacing w:val="7"/>
          <w:sz w:val="31"/>
          <w:szCs w:val="31"/>
          <w:lang w:val="en-US" w:eastAsia="zh-CN"/>
        </w:rPr>
        <w:t>刘芷含</w:t>
      </w:r>
      <w:r>
        <w:rPr>
          <w:rFonts w:ascii="仿宋" w:hAnsi="仿宋" w:eastAsia="仿宋" w:cs="仿宋"/>
          <w:spacing w:val="7"/>
          <w:sz w:val="31"/>
          <w:szCs w:val="31"/>
        </w:rPr>
        <w:t xml:space="preserve">       审稿、签发：陈双</w:t>
      </w:r>
      <w:r>
        <w:rPr>
          <w:rFonts w:ascii="仿宋" w:hAnsi="仿宋" w:eastAsia="仿宋" w:cs="仿宋"/>
          <w:sz w:val="31"/>
          <w:szCs w:val="31"/>
        </w:rPr>
        <w:t xml:space="preserve">                </w:t>
      </w:r>
      <w:r>
        <w:rPr>
          <w:rFonts w:ascii="仿宋" w:hAnsi="仿宋" w:eastAsia="仿宋" w:cs="仿宋"/>
          <w:spacing w:val="-4"/>
          <w:sz w:val="31"/>
          <w:szCs w:val="31"/>
        </w:rPr>
        <w:t>成都市双流区陈双名教</w:t>
      </w:r>
      <w:r>
        <w:rPr>
          <w:rFonts w:ascii="仿宋" w:hAnsi="仿宋" w:eastAsia="仿宋" w:cs="仿宋"/>
          <w:spacing w:val="-4"/>
          <w:sz w:val="28"/>
          <w:szCs w:val="28"/>
        </w:rPr>
        <w:t>师工</w:t>
      </w:r>
      <w:r>
        <w:rPr>
          <w:rFonts w:ascii="仿宋" w:hAnsi="仿宋" w:eastAsia="仿宋" w:cs="仿宋"/>
          <w:spacing w:val="-2"/>
          <w:sz w:val="28"/>
          <w:szCs w:val="28"/>
        </w:rPr>
        <w:t xml:space="preserve">作室        2022 年 4 月 </w:t>
      </w:r>
      <w:r>
        <w:rPr>
          <w:rFonts w:hint="eastAsia" w:ascii="仿宋" w:hAnsi="仿宋" w:eastAsia="仿宋" w:cs="仿宋"/>
          <w:spacing w:val="-2"/>
          <w:sz w:val="28"/>
          <w:szCs w:val="28"/>
          <w:lang w:val="en-US" w:eastAsia="zh-CN"/>
        </w:rPr>
        <w:t>19</w:t>
      </w:r>
      <w:r>
        <w:rPr>
          <w:rFonts w:ascii="仿宋" w:hAnsi="仿宋" w:eastAsia="仿宋" w:cs="仿宋"/>
          <w:spacing w:val="-2"/>
          <w:sz w:val="28"/>
          <w:szCs w:val="28"/>
        </w:rPr>
        <w:t xml:space="preserve"> 日</w:t>
      </w:r>
    </w:p>
    <w:p>
      <w:pPr>
        <w:sectPr>
          <w:pgSz w:w="11920" w:h="16850"/>
          <w:pgMar w:top="1432" w:right="1313" w:bottom="400" w:left="1599" w:header="0" w:footer="0" w:gutter="0"/>
          <w:cols w:space="720" w:num="1"/>
        </w:sectPr>
      </w:pPr>
    </w:p>
    <w:p>
      <w:pPr>
        <w:spacing w:before="64" w:line="228" w:lineRule="auto"/>
        <w:ind w:left="31"/>
        <w:rPr>
          <w:rFonts w:hint="eastAsia" w:ascii="仿宋" w:hAnsi="仿宋" w:eastAsia="仿宋" w:cs="仿宋"/>
          <w:sz w:val="31"/>
          <w:szCs w:val="31"/>
          <w:lang w:val="en-US" w:eastAsia="zh-CN"/>
        </w:rPr>
      </w:pPr>
      <w:r>
        <w:rPr>
          <w:rFonts w:ascii="仿宋" w:hAnsi="仿宋" w:eastAsia="仿宋" w:cs="仿宋"/>
          <w:spacing w:val="-2"/>
          <w:sz w:val="31"/>
          <w:szCs w:val="31"/>
          <w14:textOutline w14:w="5793" w14:cap="sq" w14:cmpd="sng">
            <w14:solidFill>
              <w14:srgbClr w14:val="000000"/>
            </w14:solidFill>
            <w14:prstDash w14:val="solid"/>
            <w14:bevel/>
          </w14:textOutline>
        </w:rPr>
        <w:t>附</w:t>
      </w:r>
      <w:r>
        <w:rPr>
          <w:rFonts w:ascii="仿宋" w:hAnsi="仿宋" w:eastAsia="仿宋" w:cs="仿宋"/>
          <w:spacing w:val="-1"/>
          <w:sz w:val="31"/>
          <w:szCs w:val="31"/>
          <w14:textOutline w14:w="5793" w14:cap="sq" w14:cmpd="sng">
            <w14:solidFill>
              <w14:srgbClr w14:val="000000"/>
            </w14:solidFill>
            <w14:prstDash w14:val="solid"/>
            <w14:bevel/>
          </w14:textOutline>
        </w:rPr>
        <w:t>件</w:t>
      </w:r>
      <w:r>
        <w:rPr>
          <w:rFonts w:hint="eastAsia" w:ascii="仿宋" w:hAnsi="仿宋" w:eastAsia="仿宋" w:cs="仿宋"/>
          <w:spacing w:val="-1"/>
          <w:sz w:val="31"/>
          <w:szCs w:val="31"/>
          <w:lang w:val="en-US" w:eastAsia="zh-CN"/>
          <w14:textOutline w14:w="5793" w14:cap="sq" w14:cmpd="sng">
            <w14:solidFill>
              <w14:srgbClr w14:val="000000"/>
            </w14:solidFill>
            <w14:prstDash w14:val="solid"/>
            <w14:bevel/>
          </w14:textOutline>
        </w:rPr>
        <w:t>一：</w:t>
      </w:r>
    </w:p>
    <w:p>
      <w:pPr>
        <w:spacing w:before="38" w:line="247" w:lineRule="auto"/>
        <w:ind w:left="5" w:right="90" w:firstLine="644"/>
        <w:rPr>
          <w:rFonts w:hint="eastAsia" w:ascii="仿宋" w:hAnsi="仿宋" w:eastAsia="仿宋" w:cs="仿宋"/>
          <w:spacing w:val="-2"/>
          <w:sz w:val="31"/>
          <w:szCs w:val="31"/>
          <w:lang w:val="en-US" w:eastAsia="zh-CN"/>
          <w14:textOutline w14:w="5793" w14:cap="sq" w14:cmpd="sng">
            <w14:solidFill>
              <w14:srgbClr w14:val="000000"/>
            </w14:solidFill>
            <w14:prstDash w14:val="solid"/>
            <w14:bevel/>
          </w14:textOutline>
        </w:rPr>
      </w:pPr>
      <w:r>
        <w:rPr>
          <w:rFonts w:hint="eastAsia" w:ascii="仿宋" w:hAnsi="仿宋" w:eastAsia="仿宋" w:cs="仿宋"/>
          <w:spacing w:val="-2"/>
          <w:sz w:val="31"/>
          <w:szCs w:val="31"/>
          <w:lang w:val="en-US" w:eastAsia="zh-CN"/>
          <w14:textOutline w14:w="5793" w14:cap="sq" w14:cmpd="sng">
            <w14:solidFill>
              <w14:srgbClr w14:val="000000"/>
            </w14:solidFill>
            <w14:prstDash w14:val="solid"/>
            <w14:bevel/>
          </w14:textOutline>
        </w:rPr>
        <w:t>《</w:t>
      </w:r>
      <w:r>
        <w:rPr>
          <w:rFonts w:hint="default" w:ascii="仿宋" w:hAnsi="仿宋" w:eastAsia="仿宋" w:cs="仿宋"/>
          <w:spacing w:val="-2"/>
          <w:sz w:val="31"/>
          <w:szCs w:val="31"/>
          <w:lang w:val="en-US" w:eastAsia="zh-CN"/>
          <w14:textOutline w14:w="5793" w14:cap="sq" w14:cmpd="sng">
            <w14:solidFill>
              <w14:srgbClr w14:val="000000"/>
            </w14:solidFill>
            <w14:prstDash w14:val="solid"/>
            <w14:bevel/>
          </w14:textOutline>
        </w:rPr>
        <w:t>关于全面加强和改进新时代学校美育工作的意见</w:t>
      </w:r>
      <w:r>
        <w:rPr>
          <w:rFonts w:hint="eastAsia" w:ascii="仿宋" w:hAnsi="仿宋" w:eastAsia="仿宋" w:cs="仿宋"/>
          <w:spacing w:val="-2"/>
          <w:sz w:val="31"/>
          <w:szCs w:val="31"/>
          <w:lang w:val="en-US" w:eastAsia="zh-CN"/>
          <w14:textOutline w14:w="5793" w14:cap="sq" w14:cmpd="sng">
            <w14:solidFill>
              <w14:srgbClr w14:val="000000"/>
            </w14:solidFill>
            <w14:prstDash w14:val="solid"/>
            <w14:bevel/>
          </w14:textOutline>
        </w:rPr>
        <w:t>》全文</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美是纯洁道德、丰富精神的重要源泉。美育是审美教育、情操教育、心灵教育，也是丰富想象力和培养创新意识的教育，能提升审美素养、陶冶情操、温润心灵、激发创新创造活力。为贯彻落实习近平总书记关于教育的重要论述和全国教育大会精神，进一步强化学校美育育人功能，构建德智体美劳全面培养的教育体系，现就全面加强和改进新时代学校美育工作提出如下意见。</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一、总体要求</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1.指导思想。以习近平新时代中国</w:t>
      </w:r>
      <w:r>
        <w:rPr>
          <w:rFonts w:hint="default" w:ascii="仿宋" w:hAnsi="仿宋" w:eastAsia="仿宋" w:cs="仿宋"/>
          <w:spacing w:val="8"/>
          <w:sz w:val="31"/>
          <w:szCs w:val="31"/>
          <w:lang w:val="en-US" w:eastAsia="zh-CN"/>
        </w:rPr>
        <w:fldChar w:fldCharType="begin"/>
      </w:r>
      <w:r>
        <w:rPr>
          <w:rFonts w:hint="default" w:ascii="仿宋" w:hAnsi="仿宋" w:eastAsia="仿宋" w:cs="仿宋"/>
          <w:spacing w:val="8"/>
          <w:sz w:val="31"/>
          <w:szCs w:val="31"/>
          <w:lang w:val="en-US" w:eastAsia="zh-CN"/>
        </w:rPr>
        <w:instrText xml:space="preserve"> HYPERLINK "https://baike.baidu.com/item/%E7%89%B9%E8%89%B2%E7%A4%BE%E4%BC%9A%E4%B8%BB%E4%B9%89/9180668" \t "https://baike.baidu.com/item/%E5%85%B3%E4%BA%8E%E5%85%A8%E9%9D%A2%E5%8A%A0%E5%BC%BA%E5%92%8C%E6%94%B9%E8%BF%9B%E6%96%B0%E6%97%B6%E4%BB%A3%E5%AD%A6%E6%A0%A1%E7%BE%8E%E8%82%B2%E5%B7%A5%E4%BD%9C%E7%9A%84%E6%84%8F%E8%A7%81/_blank" </w:instrText>
      </w:r>
      <w:r>
        <w:rPr>
          <w:rFonts w:hint="default" w:ascii="仿宋" w:hAnsi="仿宋" w:eastAsia="仿宋" w:cs="仿宋"/>
          <w:spacing w:val="8"/>
          <w:sz w:val="31"/>
          <w:szCs w:val="31"/>
          <w:lang w:val="en-US" w:eastAsia="zh-CN"/>
        </w:rPr>
        <w:fldChar w:fldCharType="separate"/>
      </w:r>
      <w:r>
        <w:rPr>
          <w:rFonts w:hint="default" w:ascii="仿宋" w:hAnsi="仿宋" w:eastAsia="仿宋" w:cs="仿宋"/>
          <w:spacing w:val="8"/>
          <w:sz w:val="31"/>
          <w:szCs w:val="31"/>
        </w:rPr>
        <w:t>特色社会主义</w:t>
      </w:r>
      <w:r>
        <w:rPr>
          <w:rFonts w:hint="default" w:ascii="仿宋" w:hAnsi="仿宋" w:eastAsia="仿宋" w:cs="仿宋"/>
          <w:spacing w:val="8"/>
          <w:sz w:val="31"/>
          <w:szCs w:val="31"/>
          <w:lang w:val="en-US" w:eastAsia="zh-CN"/>
        </w:rPr>
        <w:fldChar w:fldCharType="end"/>
      </w:r>
      <w:r>
        <w:rPr>
          <w:rFonts w:hint="default" w:ascii="仿宋" w:hAnsi="仿宋" w:eastAsia="仿宋" w:cs="仿宋"/>
          <w:spacing w:val="8"/>
          <w:sz w:val="31"/>
          <w:szCs w:val="31"/>
          <w:lang w:val="en-US" w:eastAsia="zh-CN"/>
        </w:rPr>
        <w:t>思想为指导，全面贯彻党的教育方针，坚持社会主义办学方向，以立德树人为根本，以社会主义核心价值观为引领，以提高学生审美和人文素养为目标，弘扬中华美育精神，以美育人、以美化人、以美培元，把美育纳入各级各类学校人才培养全过程，贯穿学校教育各学段，培养德智体美劳全面发展的社会主义建设者和接班人。</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2.工作原则</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坚持正确方向。将学校美育作为立德树人的重要载体，坚持弘扬社会主义核心价值观，强化中华优秀传统文化、革命文化、社会主义先进文化教育，引领学生树立正确的历史观、民族观、国家观、文化观，陶冶高尚情操，塑造美好心灵，增强文化自信。</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坚持面向全体。健全面向人人的学校美育育人机制，缩小城乡差距和校际差距，让所有在校学生都享有接受美育的机会，整体推进各级各类学校美育发展，加强分类指导，鼓励特色发展，形成“一校一品”、“一校多品”的学校美育发展新局面。</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坚持改革创新。全面深化学校美育综合改革，坚持德智体美劳五育并举，加强各学科有机融合，整合美育资源，补齐发展短板，强化实践体验，完善评价机制，全员全过程全方位育人，形成充满活力、多方协作、开放高效的学校美育新格局。</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3.主要目标。到2022年，学校美育取得突破性进展，美育课程全面开齐开足，教育教学改革成效显著，资源配置不断优化，评价体系逐步健全，管理机制更加完善，育人成效显著增强，学生审美和人文素养明显提升。到2035年，基本形成全覆盖、多样化、高质量的具有中国特色的现代化学校美育体系。</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二、不断完善课程和教材体系</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4.树立学科融合理念。加强美育与德育、智育、体育、劳动教育相融合，充分挖掘和运用各学科蕴含的体现中华美育精神与民族审美特质的心灵美、礼乐美、语言美、行为美、科学美、秩序美、健康美、勤劳美、艺术美等丰富美育资源。有机整合相关学科的美育内容，推进课程教学、社会实践和</w:t>
      </w:r>
      <w:r>
        <w:rPr>
          <w:rFonts w:hint="default" w:ascii="仿宋" w:hAnsi="仿宋" w:eastAsia="仿宋" w:cs="仿宋"/>
          <w:spacing w:val="8"/>
          <w:sz w:val="31"/>
          <w:szCs w:val="31"/>
          <w:lang w:val="en-US" w:eastAsia="zh-CN"/>
        </w:rPr>
        <w:fldChar w:fldCharType="begin"/>
      </w:r>
      <w:r>
        <w:rPr>
          <w:rFonts w:hint="default" w:ascii="仿宋" w:hAnsi="仿宋" w:eastAsia="仿宋" w:cs="仿宋"/>
          <w:spacing w:val="8"/>
          <w:sz w:val="31"/>
          <w:szCs w:val="31"/>
          <w:lang w:val="en-US" w:eastAsia="zh-CN"/>
        </w:rPr>
        <w:instrText xml:space="preserve"> HYPERLINK "https://baike.baidu.com/item/%E6%A0%A1%E5%9B%AD%E6%96%87%E5%8C%96%E5%BB%BA%E8%AE%BE/9202756" \t "https://baike.baidu.com/item/%E5%85%B3%E4%BA%8E%E5%85%A8%E9%9D%A2%E5%8A%A0%E5%BC%BA%E5%92%8C%E6%94%B9%E8%BF%9B%E6%96%B0%E6%97%B6%E4%BB%A3%E5%AD%A6%E6%A0%A1%E7%BE%8E%E8%82%B2%E5%B7%A5%E4%BD%9C%E7%9A%84%E6%84%8F%E8%A7%81/_blank" </w:instrText>
      </w:r>
      <w:r>
        <w:rPr>
          <w:rFonts w:hint="default" w:ascii="仿宋" w:hAnsi="仿宋" w:eastAsia="仿宋" w:cs="仿宋"/>
          <w:spacing w:val="8"/>
          <w:sz w:val="31"/>
          <w:szCs w:val="31"/>
          <w:lang w:val="en-US" w:eastAsia="zh-CN"/>
        </w:rPr>
        <w:fldChar w:fldCharType="separate"/>
      </w:r>
      <w:r>
        <w:rPr>
          <w:rFonts w:hint="default" w:ascii="仿宋" w:hAnsi="仿宋" w:eastAsia="仿宋" w:cs="仿宋"/>
          <w:spacing w:val="8"/>
          <w:sz w:val="31"/>
          <w:szCs w:val="31"/>
        </w:rPr>
        <w:t>校园文化建设</w:t>
      </w:r>
      <w:r>
        <w:rPr>
          <w:rFonts w:hint="default" w:ascii="仿宋" w:hAnsi="仿宋" w:eastAsia="仿宋" w:cs="仿宋"/>
          <w:spacing w:val="8"/>
          <w:sz w:val="31"/>
          <w:szCs w:val="31"/>
          <w:lang w:val="en-US" w:eastAsia="zh-CN"/>
        </w:rPr>
        <w:fldChar w:fldCharType="end"/>
      </w:r>
      <w:r>
        <w:rPr>
          <w:rFonts w:hint="default" w:ascii="仿宋" w:hAnsi="仿宋" w:eastAsia="仿宋" w:cs="仿宋"/>
          <w:spacing w:val="8"/>
          <w:sz w:val="31"/>
          <w:szCs w:val="31"/>
          <w:lang w:val="en-US" w:eastAsia="zh-CN"/>
        </w:rPr>
        <w:t>深度融合，大力开展以美育为主题的跨学科教育教学和课外校外实践活动。</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5.完善课程设置。学校美育课程以艺术课程为主体，主要包括音乐、美术、书法、舞蹈、戏剧、戏曲、影视等课程。学前教育阶段开展适合幼儿身心特点的艺术游戏活动。义务教育阶段丰富艺术课程内容，在开好音乐、美术、书法课程的基础上，逐步开设舞蹈、戏剧、影视等艺术课程。高中阶段开设多样化艺术课程，增加艺术课程的可选择性。职业教育将艺术课程与专业课程有机结合，强化实践，开设体现职业教育特点的拓展性艺术课程。高等教育阶段开设以审美和人文素养培养为核心、以创新能力培育为重点、以中华优秀传统文化传承发展和艺术经典教育为主要内容的公共艺术课程。</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6.科学定位课程目标。构建大中小幼相衔接的美育课程体系，明确各级各类学校美育课程目标。学前教育阶段培养幼儿拥有美好、善良心灵和懂得珍惜美好事物。义务教育阶段注重激发学生艺术兴趣和创新意识，培养学生健康向上的审美趣味、审美格调，帮助学生掌握1至2项艺术特长。高中阶段丰富审美体验，开阔人文视野，引导学生树立正确的审美观、文化观。职业教育强化艺术实践，培养具有审美修养的高素质技术技能人才，引导学生完善人格修养，增强文化创新意识。高等教育阶段强化学生文化主体意识，培养具有崇高审美追求、高尚人格修养的高素质人才。</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7.加强教材体系建设。编写教材要坚持</w:t>
      </w:r>
      <w:r>
        <w:rPr>
          <w:rFonts w:hint="default" w:ascii="仿宋" w:hAnsi="仿宋" w:eastAsia="仿宋" w:cs="仿宋"/>
          <w:spacing w:val="8"/>
          <w:sz w:val="31"/>
          <w:szCs w:val="31"/>
          <w:lang w:val="en-US" w:eastAsia="zh-CN"/>
        </w:rPr>
        <w:fldChar w:fldCharType="begin"/>
      </w:r>
      <w:r>
        <w:rPr>
          <w:rFonts w:hint="default" w:ascii="仿宋" w:hAnsi="仿宋" w:eastAsia="仿宋" w:cs="仿宋"/>
          <w:spacing w:val="8"/>
          <w:sz w:val="31"/>
          <w:szCs w:val="31"/>
          <w:lang w:val="en-US" w:eastAsia="zh-CN"/>
        </w:rPr>
        <w:instrText xml:space="preserve"> HYPERLINK "https://baike.baidu.com/item/%E9%A9%AC%E5%85%8B%E6%80%9D%E4%B8%BB%E4%B9%89/239051" \t "https://baike.baidu.com/item/%E5%85%B3%E4%BA%8E%E5%85%A8%E9%9D%A2%E5%8A%A0%E5%BC%BA%E5%92%8C%E6%94%B9%E8%BF%9B%E6%96%B0%E6%97%B6%E4%BB%A3%E5%AD%A6%E6%A0%A1%E7%BE%8E%E8%82%B2%E5%B7%A5%E4%BD%9C%E7%9A%84%E6%84%8F%E8%A7%81/_blank" </w:instrText>
      </w:r>
      <w:r>
        <w:rPr>
          <w:rFonts w:hint="default" w:ascii="仿宋" w:hAnsi="仿宋" w:eastAsia="仿宋" w:cs="仿宋"/>
          <w:spacing w:val="8"/>
          <w:sz w:val="31"/>
          <w:szCs w:val="31"/>
          <w:lang w:val="en-US" w:eastAsia="zh-CN"/>
        </w:rPr>
        <w:fldChar w:fldCharType="separate"/>
      </w:r>
      <w:r>
        <w:rPr>
          <w:rFonts w:hint="default" w:ascii="仿宋" w:hAnsi="仿宋" w:eastAsia="仿宋" w:cs="仿宋"/>
          <w:spacing w:val="8"/>
          <w:sz w:val="31"/>
          <w:szCs w:val="31"/>
        </w:rPr>
        <w:t>马克思主义</w:t>
      </w:r>
      <w:r>
        <w:rPr>
          <w:rFonts w:hint="default" w:ascii="仿宋" w:hAnsi="仿宋" w:eastAsia="仿宋" w:cs="仿宋"/>
          <w:spacing w:val="8"/>
          <w:sz w:val="31"/>
          <w:szCs w:val="31"/>
          <w:lang w:val="en-US" w:eastAsia="zh-CN"/>
        </w:rPr>
        <w:fldChar w:fldCharType="end"/>
      </w:r>
      <w:r>
        <w:rPr>
          <w:rFonts w:hint="default" w:ascii="仿宋" w:hAnsi="仿宋" w:eastAsia="仿宋" w:cs="仿宋"/>
          <w:spacing w:val="8"/>
          <w:sz w:val="31"/>
          <w:szCs w:val="31"/>
          <w:lang w:val="en-US" w:eastAsia="zh-CN"/>
        </w:rPr>
        <w:t>指导地位，扎根中国、融通中外，体现国家和民族基本价值观，格调高雅，凸显中华美育精神，充分体现思想性、民族性、创新性、实践性。根据学生年龄特点和身心成长规律，围绕课程目标，精选教学素材，丰富教学资源。加强大中小学美育教材一体化建设，注重教材纵向衔接，实现主线贯穿、循序渐进。中小学美育教材按规定审定后使用。高校落实美育教材建设主体责任，做好教材研究、编写、使用等工作，探索形成以美学和艺术史论类、艺术鉴赏类、艺术实践类为主体的高校公共艺术课程教材体系。</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三、全面深化教学改革</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8.开齐开足上好美育课。严格落实学校美育课程开设刚性要求，不断拓宽课程领域，逐步增加课时，丰富课程内容。义务教育阶段和高中阶段学校严格按照国家课程方案和课程标准开齐开足上好美育课。高等教育阶段将公共艺术课程与艺术实践纳入学校人才培养方案，实行学分制管理，学生修满公共艺术课程2个学分方能毕业。鼓励高校和科研院所将美学、艺术学课程纳入研究生教育公共课程体系。</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9.深化教学改革。逐步完善“艺术基础知识基本技能+艺术审美体验+艺术专项特长”的教学模式。在学生掌握必要基础知识和基本技能的基础上，着力提升文化理解、审美感知、艺术表现、创意实践等核心素养，帮助学生形成艺术专项特长。成立全国高校和中小学美育教学指导委员会，培育一批学校美育优秀教学成果和名师工作室，建设一批学校美育实践基地，开发一批美育课程优质数字教育资源。推动高雅艺术进校园，持续建设中华优秀传统文化传承学校和基地，创作并推广高校原创文化精品，以大爱之心育莘莘学子，以大美之艺绘传世之作，努力培养心灵美、形象美、语言美、行为美的新时代青少年。</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10.丰富艺术实践活动。面向人人，建立常态化学生全员艺术展演机制，大力推广惠及全体学生的合唱、合奏、集体舞、课本剧、艺术实践工作坊和博物馆、非遗展示传习场所体验学习等实践活动，广泛开展班级、年级、院系、校级等群体性展示交流。有条件的地区可以每年开展大中小学生艺术专项展示，每3年分别组织1次省级大学生和中小学生综合性艺术展演。加强国家级示范性大中小学校学生艺术团建设，遴选优秀学生艺术团参与国家重大演出活动，以弘扬中华优秀传统文化、革命文化、社会主义先进文化为导向，发挥示范引领作用。</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11.推进评价改革。把中小学生学习音乐、美术、书法等艺术类课程以及参与学校组织的艺术实践活动情况纳入学业要求，探索将艺术类科目纳入初、</w:t>
      </w:r>
      <w:r>
        <w:rPr>
          <w:rFonts w:hint="default" w:ascii="仿宋" w:hAnsi="仿宋" w:eastAsia="仿宋" w:cs="仿宋"/>
          <w:spacing w:val="8"/>
          <w:sz w:val="31"/>
          <w:szCs w:val="31"/>
          <w:lang w:val="en-US" w:eastAsia="zh-CN"/>
        </w:rPr>
        <w:fldChar w:fldCharType="begin"/>
      </w:r>
      <w:r>
        <w:rPr>
          <w:rFonts w:hint="default" w:ascii="仿宋" w:hAnsi="仿宋" w:eastAsia="仿宋" w:cs="仿宋"/>
          <w:spacing w:val="8"/>
          <w:sz w:val="31"/>
          <w:szCs w:val="31"/>
          <w:lang w:val="en-US" w:eastAsia="zh-CN"/>
        </w:rPr>
        <w:instrText xml:space="preserve"> HYPERLINK "https://baike.baidu.com/item/%E9%AB%98%E4%B8%AD%E5%AD%A6%E4%B8%9A%E6%B0%B4%E5%B9%B3%E8%80%83%E8%AF%95/3290035" \t "https://baike.baidu.com/item/%E5%85%B3%E4%BA%8E%E5%85%A8%E9%9D%A2%E5%8A%A0%E5%BC%BA%E5%92%8C%E6%94%B9%E8%BF%9B%E6%96%B0%E6%97%B6%E4%BB%A3%E5%AD%A6%E6%A0%A1%E7%BE%8E%E8%82%B2%E5%B7%A5%E4%BD%9C%E7%9A%84%E6%84%8F%E8%A7%81/_blank" </w:instrText>
      </w:r>
      <w:r>
        <w:rPr>
          <w:rFonts w:hint="default" w:ascii="仿宋" w:hAnsi="仿宋" w:eastAsia="仿宋" w:cs="仿宋"/>
          <w:spacing w:val="8"/>
          <w:sz w:val="31"/>
          <w:szCs w:val="31"/>
          <w:lang w:val="en-US" w:eastAsia="zh-CN"/>
        </w:rPr>
        <w:fldChar w:fldCharType="separate"/>
      </w:r>
      <w:r>
        <w:rPr>
          <w:rFonts w:hint="default" w:ascii="仿宋" w:hAnsi="仿宋" w:eastAsia="仿宋" w:cs="仿宋"/>
          <w:spacing w:val="8"/>
          <w:sz w:val="31"/>
          <w:szCs w:val="31"/>
        </w:rPr>
        <w:t>高中学业水平考试</w:t>
      </w:r>
      <w:r>
        <w:rPr>
          <w:rFonts w:hint="default" w:ascii="仿宋" w:hAnsi="仿宋" w:eastAsia="仿宋" w:cs="仿宋"/>
          <w:spacing w:val="8"/>
          <w:sz w:val="31"/>
          <w:szCs w:val="31"/>
          <w:lang w:val="en-US" w:eastAsia="zh-CN"/>
        </w:rPr>
        <w:fldChar w:fldCharType="end"/>
      </w:r>
      <w:r>
        <w:rPr>
          <w:rFonts w:hint="default" w:ascii="仿宋" w:hAnsi="仿宋" w:eastAsia="仿宋" w:cs="仿宋"/>
          <w:spacing w:val="8"/>
          <w:sz w:val="31"/>
          <w:szCs w:val="31"/>
          <w:lang w:val="en-US" w:eastAsia="zh-CN"/>
        </w:rPr>
        <w:t>范围。全面实施中小学生艺术素质测评，将测评结果纳入初、高中学生综合素质评价。探索将艺术类科目纳入中考改革试点，纳入高中阶段学校考试招生录取计分科目，依据课程标准确定考试内容，利用现代技术手段促进客观公正评价。</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12.加快艺术学科创新发展。专业艺术教育坚持以一流为目标，进一步优化学科专业布局，构建多元化、特色化、高水平的中国特色艺术学科专业体系，加强国家级一流艺术类专业点建设，创新艺术人才培养机制，提高艺术人才培养能力。艺术师范教育以培养高素质专业化创新型教师队伍为根本，坚定办学方向、坚守师范特质、坚持服务需求、强化实践环节，构建协同育人机制，鼓励艺术教师互聘和双向交流。鼓励有条件的地区建设一批高水平艺术学科创新团队和平台，整合美学、艺术学、教育学等学科资源，加强美育基础理论建设，建设一批美育高端智库。</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四、着力改善办学条件</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13.配齐配好美育教师。各地要加大中小学美育教师补充力度，未配齐的地区应每年划出一定比例用于招聘美育教师。有条件的地区可以通过购买服务方式，与相关专业机构等社会力量合作，向中小学提供美育教育教学服务，缓解美育师资不足问题。鼓励优秀文艺工作者等人士到学校兼任美育教师。推动实施艺术教育专业大学生支教计划。全面提高美育教师思想政治素质、教学素质、育人能力和职业道德水平。优化美育教师岗位结构，畅通美育教师职业发展通道。将美育教师承担学校安排的艺术社团指导，课外活动、课后服务等第二课堂指导和走教任务计入工作量。在教学成果奖等评选表彰中，保证美育教师占有一定比例。</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14.改善场地器材建设配备。建好满足课程教学和实践活动需求的场地设施、专用教室。把农村学校美育设施建设纳入地方义务教育均衡发展规划，小规模学校以保基本、兜底线为原则，配备必要的功能教室和设施设备。鼓励有条件的地区在中小学校建设美育场馆，与周边学校和社区共用共享。加强高校美育场馆建设，鼓励有条件的高校与地方共建共享剧院、音乐厅、美术馆、书法馆、博物馆等艺术场馆。配好美育教学所需器材设备，建立美育器材补充机制。制定学校美育工作基本标准。</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15.统筹整合社会资源。加强美育的社会资源供给，推动基本公共文化服务项目为学校美育教学服务。城市和社区建设规划要统筹学生艺术实践需要，新建文化艺术项目优先建在学校或其周边。鼓励学校与社会公共文化艺术场馆、文艺院团合作开设美育课程。整合校内、校外资源开展美育实践活动，作为解决中小学课后“三点半”问题的有效途径和中小学生课后服务工作的重要载体。有条件的地方和学校每年组织学生现场参观1次美术馆、书法馆、博物馆，让收藏在馆所里的文物、陈列在大地上的文化艺术遗产成为学校美育的丰厚资源，让广大学生在艺术学习过程中了解中华文化变迁，触摸中华文化脉络，汲取中华文化艺术精髓。充分挖掘学校艺术场馆的社会服务功能，鼓励有条件的学校将艺术场馆向社会有序开放。</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16.建立美育基础薄弱学校帮扶机制。各地要加强乡村学校美育教师培养，通过乡村教师公费定向培养项目，培养能够承担美育教学的全科教师。鼓励开展对乡村学校各学科在职教师的美育培训，培养能够承担美育教学与活动指导的兼职美育教师。推进农村学校艺术教育实验县等综合改革实践，建立校际教师共享和城乡学校“手拉手”帮扶机制。统筹乡镇中心学校和小规模学校美育课程设置、教学安排、教研活动和教师管理，采取同步课堂、共享优质在线资源等方式，补齐师资和资源短板。引导高校师生强化服务社会意识，支持高校开展美育浸润行动计划，支持社会力量开展美育公益项目。</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五、切实加强组织保障</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17.加强组织领导和经费保障。地方各级党委和政府要把学校美育工作纳入重要议事日程，纳入地方经济社会发展规划，加强对本地区学校美育改革发展的总体谋划。各地要建立加强学校美育工作部门联席会议制度，健全统筹协调机制。把学校美育工作纳入有关领导干部培训计划。各级政府要调整优化教育支出结构，完善投入机制，地方政府要统筹安排</w:t>
      </w:r>
      <w:r>
        <w:rPr>
          <w:rFonts w:hint="default" w:ascii="仿宋" w:hAnsi="仿宋" w:eastAsia="仿宋" w:cs="仿宋"/>
          <w:spacing w:val="8"/>
          <w:sz w:val="31"/>
          <w:szCs w:val="31"/>
          <w:lang w:val="en-US" w:eastAsia="zh-CN"/>
        </w:rPr>
        <w:fldChar w:fldCharType="begin"/>
      </w:r>
      <w:r>
        <w:rPr>
          <w:rFonts w:hint="default" w:ascii="仿宋" w:hAnsi="仿宋" w:eastAsia="仿宋" w:cs="仿宋"/>
          <w:spacing w:val="8"/>
          <w:sz w:val="31"/>
          <w:szCs w:val="31"/>
          <w:lang w:val="en-US" w:eastAsia="zh-CN"/>
        </w:rPr>
        <w:instrText xml:space="preserve"> HYPERLINK "https://baike.baidu.com/item/%E8%B4%A2%E6%94%BF%E8%BD%AC%E7%A7%BB%E6%94%AF%E4%BB%98/134598" \t "https://baike.baidu.com/item/%E5%85%B3%E4%BA%8E%E5%85%A8%E9%9D%A2%E5%8A%A0%E5%BC%BA%E5%92%8C%E6%94%B9%E8%BF%9B%E6%96%B0%E6%97%B6%E4%BB%A3%E5%AD%A6%E6%A0%A1%E7%BE%8E%E8%82%B2%E5%B7%A5%E4%BD%9C%E7%9A%84%E6%84%8F%E8%A7%81/_blank" </w:instrText>
      </w:r>
      <w:r>
        <w:rPr>
          <w:rFonts w:hint="default" w:ascii="仿宋" w:hAnsi="仿宋" w:eastAsia="仿宋" w:cs="仿宋"/>
          <w:spacing w:val="8"/>
          <w:sz w:val="31"/>
          <w:szCs w:val="31"/>
          <w:lang w:val="en-US" w:eastAsia="zh-CN"/>
        </w:rPr>
        <w:fldChar w:fldCharType="separate"/>
      </w:r>
      <w:r>
        <w:rPr>
          <w:rFonts w:hint="default" w:ascii="仿宋" w:hAnsi="仿宋" w:eastAsia="仿宋" w:cs="仿宋"/>
          <w:spacing w:val="8"/>
          <w:sz w:val="31"/>
          <w:szCs w:val="31"/>
        </w:rPr>
        <w:t>财政转移支付</w:t>
      </w:r>
      <w:r>
        <w:rPr>
          <w:rFonts w:hint="default" w:ascii="仿宋" w:hAnsi="仿宋" w:eastAsia="仿宋" w:cs="仿宋"/>
          <w:spacing w:val="8"/>
          <w:sz w:val="31"/>
          <w:szCs w:val="31"/>
          <w:lang w:val="en-US" w:eastAsia="zh-CN"/>
        </w:rPr>
        <w:fldChar w:fldCharType="end"/>
      </w:r>
      <w:r>
        <w:rPr>
          <w:rFonts w:hint="default" w:ascii="仿宋" w:hAnsi="仿宋" w:eastAsia="仿宋" w:cs="仿宋"/>
          <w:spacing w:val="8"/>
          <w:sz w:val="31"/>
          <w:szCs w:val="31"/>
          <w:lang w:val="en-US" w:eastAsia="zh-CN"/>
        </w:rPr>
        <w:t>资金和本级财力支持学校美育工作。鼓励和引导社会资金支持学校美育发展，吸引社会捐赠，多渠道增加投入。</w:t>
      </w:r>
    </w:p>
    <w:p>
      <w:pPr>
        <w:spacing w:before="38" w:line="247" w:lineRule="auto"/>
        <w:ind w:left="5" w:right="90" w:firstLine="644"/>
        <w:rPr>
          <w:rFonts w:hint="default" w:ascii="仿宋" w:hAnsi="仿宋" w:eastAsia="仿宋" w:cs="仿宋"/>
          <w:spacing w:val="8"/>
          <w:sz w:val="31"/>
          <w:szCs w:val="31"/>
        </w:rPr>
      </w:pPr>
      <w:r>
        <w:rPr>
          <w:rFonts w:hint="default" w:ascii="仿宋" w:hAnsi="仿宋" w:eastAsia="仿宋" w:cs="仿宋"/>
          <w:spacing w:val="8"/>
          <w:sz w:val="31"/>
          <w:szCs w:val="31"/>
          <w:lang w:val="en-US" w:eastAsia="zh-CN"/>
        </w:rPr>
        <w:t>18.加强制度保障。完善学校美育法律制度，研究制定规范学校美育工作的法规。鼓励地方出台学校美育法规制度，为推动学校美育发展提供有力法治保障。健全教育督导评价制度，把政策措施落实情况、学生艺术素质测评情况和支持学校开展美育工作情况等纳入教育督导评估范围。完善国家义务教育美育质量监测，公布监测结果。把美育工作及其效果作为高校办学评价的重要指标，纳入高校本科教学工作评估指标体系和“双一流”建设成效评价。对政策落实不到位、学生艺术素质测评合格率持续下降的地方政府、教育行政部门和学校负责人，依规依法予以问责。</w:t>
      </w:r>
    </w:p>
    <w:p>
      <w:pPr>
        <w:spacing w:before="38" w:line="247" w:lineRule="auto"/>
        <w:ind w:left="5" w:right="90" w:firstLine="644"/>
        <w:rPr>
          <w:rFonts w:hint="default" w:ascii="仿宋" w:hAnsi="仿宋" w:eastAsia="仿宋" w:cs="仿宋"/>
          <w:spacing w:val="8"/>
          <w:sz w:val="31"/>
          <w:szCs w:val="31"/>
          <w:lang w:val="en-US" w:eastAsia="zh-CN"/>
        </w:rPr>
      </w:pPr>
      <w:r>
        <w:rPr>
          <w:rFonts w:hint="default" w:ascii="仿宋" w:hAnsi="仿宋" w:eastAsia="仿宋" w:cs="仿宋"/>
          <w:spacing w:val="8"/>
          <w:sz w:val="31"/>
          <w:szCs w:val="31"/>
          <w:lang w:val="en-US" w:eastAsia="zh-CN"/>
        </w:rPr>
        <w:t>19.营造社会氛围。各地要研究落实加强和改进新时代学校美育工作的具体措施，可以结合实际制定实施学校美育教师配备和场地器材建设三年行动计划。加强宣传，凝聚共识，营造全社会共同促进学校美育发展的良好社会氛围。</w:t>
      </w:r>
    </w:p>
    <w:p>
      <w:pPr>
        <w:spacing w:before="38" w:line="247" w:lineRule="auto"/>
        <w:ind w:left="5" w:right="90" w:firstLine="644"/>
        <w:rPr>
          <w:rFonts w:hint="default" w:ascii="仿宋" w:hAnsi="仿宋" w:eastAsia="仿宋" w:cs="仿宋"/>
          <w:spacing w:val="8"/>
          <w:sz w:val="31"/>
          <w:szCs w:val="31"/>
          <w:lang w:val="en-US" w:eastAsia="zh-CN"/>
        </w:rPr>
      </w:pPr>
    </w:p>
    <w:p>
      <w:pPr>
        <w:spacing w:before="38" w:line="247" w:lineRule="auto"/>
        <w:ind w:right="90"/>
        <w:rPr>
          <w:rFonts w:hint="eastAsia" w:ascii="仿宋" w:hAnsi="仿宋" w:eastAsia="仿宋" w:cs="仿宋"/>
          <w:spacing w:val="-2"/>
          <w:sz w:val="31"/>
          <w:szCs w:val="31"/>
          <w:lang w:val="en-US" w:eastAsia="zh-CN"/>
          <w14:textOutline w14:w="5793" w14:cap="sq" w14:cmpd="sng">
            <w14:solidFill>
              <w14:srgbClr w14:val="000000"/>
            </w14:solidFill>
            <w14:prstDash w14:val="solid"/>
            <w14:bevel/>
          </w14:textOutline>
        </w:rPr>
      </w:pPr>
      <w:r>
        <w:rPr>
          <w:rFonts w:hint="eastAsia" w:ascii="仿宋" w:hAnsi="仿宋" w:eastAsia="仿宋" w:cs="仿宋"/>
          <w:spacing w:val="-2"/>
          <w:sz w:val="31"/>
          <w:szCs w:val="31"/>
          <w:lang w:val="en-US" w:eastAsia="zh-CN"/>
          <w14:textOutline w14:w="5793" w14:cap="sq" w14:cmpd="sng">
            <w14:solidFill>
              <w14:srgbClr w14:val="000000"/>
            </w14:solidFill>
            <w14:prstDash w14:val="solid"/>
            <w14:bevel/>
          </w14:textOutline>
        </w:rPr>
        <w:t>附件二：《关于进一步减轻义务教育阶段学生作业负担和校外培训负担的意见》全文</w:t>
      </w:r>
    </w:p>
    <w:p>
      <w:pPr>
        <w:spacing w:before="38" w:line="247" w:lineRule="auto"/>
        <w:ind w:right="90"/>
        <w:rPr>
          <w:rFonts w:hint="eastAsia" w:ascii="仿宋" w:hAnsi="仿宋" w:eastAsia="仿宋" w:cs="仿宋"/>
          <w:spacing w:val="8"/>
          <w:sz w:val="31"/>
          <w:szCs w:val="31"/>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default" w:ascii="仿宋" w:hAnsi="仿宋" w:eastAsia="仿宋" w:cs="仿宋"/>
          <w:snapToGrid w:val="0"/>
          <w:color w:val="000000"/>
          <w:spacing w:val="8"/>
          <w:kern w:val="0"/>
          <w:sz w:val="31"/>
          <w:szCs w:val="31"/>
          <w:lang w:val="en-US" w:eastAsia="zh-CN"/>
        </w:rPr>
      </w:pPr>
      <w:r>
        <w:rPr>
          <w:rFonts w:hint="eastAsia" w:ascii="微软雅黑" w:hAnsi="微软雅黑" w:eastAsia="微软雅黑" w:cs="微软雅黑"/>
          <w:i w:val="0"/>
          <w:iCs w:val="0"/>
          <w:caps w:val="0"/>
          <w:color w:val="000000"/>
          <w:spacing w:val="0"/>
          <w:shd w:val="clear" w:fill="FFFFFF"/>
        </w:rPr>
        <w:t>为</w:t>
      </w:r>
      <w:r>
        <w:rPr>
          <w:rFonts w:hint="eastAsia" w:ascii="仿宋" w:hAnsi="仿宋" w:eastAsia="仿宋" w:cs="仿宋"/>
          <w:snapToGrid w:val="0"/>
          <w:color w:val="000000"/>
          <w:spacing w:val="8"/>
          <w:kern w:val="0"/>
          <w:sz w:val="31"/>
          <w:szCs w:val="31"/>
          <w:lang w:val="en-US" w:eastAsia="zh-CN"/>
        </w:rPr>
        <w:t>深入贯彻党的十九大和十九届五中全会精神，切实提升学校育人水平，持续规范校外培训（包括线上培训和线下培训），有效减轻义务教育阶段学生过重作业负担和校外培训负担（以下简称“双减”），现提出如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1.指导思想。坚持以习近平新时代中国特色社会主义思想为指导，全面贯彻党的教育方针，落实立德树人根本任务，着眼建设高质量教育体系，强化学校教育主阵地作用，深化校外培训机构治理，坚决防止侵害群众利益行为，构建教育良好生态，有效缓解家长焦虑情绪，促进学生全面发展、健康成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2.工作原则。坚持学生为本、回应关切，遵循教育规律，着眼学生身心健康成长，保障学生休息权利，整体提升学校教育教学质量，积极回应社会关切与期盼，减轻家长负担；坚持依法治理、标本兼治，严格执行义务教育法、未成年人保护法等法律规定，加强源头治理、系统治理、综合治理；坚持政府主导、多方联动，强化政府统筹，落实部门职责，发挥学校主体作用，健全保障政策，明确家校社协同责任；坚持统筹推进、稳步实施，全面落实国家关于减轻学生过重学业负担有关规定，对重点难点问题先行试点，积极推广典型经验，确保“双减”工作平稳有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3.工作目标。学校教育教学质量和服务水平进一步提升，作业布置更加科学合理，学校课后服务基本满足学生需要，学生学习更好回归校园，校外培训机构培训行为全面规范。学生过重作业负担和校外培训负担、家庭教育支出和家长相应精力负担1年内有效减轻、3年内成效显著，人民群众教育满意度明显提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二、全面压减作业总量和时长，减轻学生过重作业负担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4.健全作业管理机制。学校要完善作业管理办法，加强学科组、年级组作业统筹，合理调控作业结构，确保难度不超国家课标。建立作业校内公示制度，加强质量监督。严禁给家长布置或变相布置作业，严禁要求家长检查、批改作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5.分类明确作业总量。学校要确保小学一、二年级不布置家庭书面作业，可在校内适当安排巩固练习；小学三至六年级书面作业平均完成时间不超过60分钟，初中书面作业平均完成时间不超过90分钟。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6.提高作业设计质量。发挥作业诊断、巩固、学情分析等功能，将作业设计纳入教研体系，系统设计符合年龄特点和学习规律、体现素质教育导向的基础性作业。鼓励布置分层、弹性和个性化作业，坚决克服机械、无效作业，杜绝重复性、惩罚性作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7.加强作业完成指导。教师要指导小学生在校内基本完成书面作业，初中生在校内完成大部分书面作业。教师要认真批改作业，及时做好反馈，加强面批讲解，认真分析学情，做好答疑辅导。不得要求学生自批自改作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8.科学利用课余时间。学校和家长要引导学生放学回家后完成剩余书面作业，进行必要的课业学习，从事力所能及的家务劳动，开展适宜的体育锻炼，开展阅读和文艺活动。个别学生经努力仍完不成书面作业的，也应按时就寝。引导学生合理使用电子产品，控制使用时长，保护视力健康，防止网络沉迷。家长要积极与孩子沟通，关注孩子心理情绪，帮助其养成良好学习生活习惯。寄宿制学校要统筹安排好课余学习生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三、提升学校课后服务水平，满足学生多样化需求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9.保证课后服务时间。学校要充分利用资源优势，有效实施各种课后育人活动，在校内满足学生多样化学习需求。引导学生自愿参加课后服务。课后服务结束时间原则上不早于当地正常下班时间；对有特殊需要的学生，学校应提供延时托管服务；初中学校工作日晚上可开设自习班。学校可统筹安排教师实行“弹性上下班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10.提高课后服务质量。学校要制定课后服务实施方案，增强课后服务的吸引力。充分用好课后服务时间，指导学生认真完成作业，对学习有困难的学生进行补习辅导与答疑，为学有余力的学生拓展学习空间，开展丰富多彩的科普、文体、艺术、劳动、阅读、兴趣小组及社团活动。不得利用课后服务时间讲新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11.拓展课后服务渠道。课后服务一般由本校教师承担，也可聘请退休教师、具备资质的社会专业人员或志愿者提供。教育部门可组织区域内优秀教师到师资力量薄弱的学校开展课后服务。依法依规严肃查处教师校外有偿补课行为，直至撤销教师资格。充分利用社会资源，发挥好少年宫、青少年活动中心等校外活动场所在课后服务中的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12.做强做优免费线上学习服务。教育部门要征集、开发丰富优质的线上教育教学资源，利用国家和各地教育教学资源平台以及优质学校网络平台，免费向学生提供高质量专题教育资源和覆盖各年级各学科的学习资源，推动教育资源均衡发展，促进教育公平。各地要积极创造条件，组织优秀教师开展免费在线互动交流答疑。各地各校要加大宣传推广使用力度，引导学生用好免费线上优质教育资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四、坚持从严治理，全面规范校外培训行为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13.坚持从严审批机构。各地不再审批新的面向义务教育阶段学生的学科类校外培训机构，现有学科类培训机构统一登记为非营利性机构。对原备案的线上学科类培训机构，改为审批制。各省（自治区、直辖市）要对已备案的线上学科类培训机构全面排查，并按标准重新办理审批手续。未通过审批的，取消原有备案登记和互联网信息服务业务经营许可证（ICP）。对非学科类培训机构，各地要区分体育、文化艺术、科技等类别，明确相应主管部门，分类制定标准、严格审批。依法依规严肃查处不具备相应资质条件、未经审批多址开展培训的校外培训机构。学科类培训机构一律不得上市融资，严禁资本化运作；上市公司不得通过股票市场融资投资学科类培训机构，不得通过发行股份或支付现金等方式购买学科类培训机构资产；外资不得通过兼并收购、受托经营、加盟连锁、利用可变利益实体等方式控股或参股学科类培训机构。已违规的，要进行清理整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14.规范培训服务行为。建立培训内容备案与监督制度，制定出台校外培训机构培训材料管理办法。严禁超标超前培训，严禁非学科类培训机构从事学科类培训，严禁提供境外教育课程。依法依规坚决查处超范围培训、培训质量良莠不齐、内容低俗违法、盗版侵权等突出问题。严格执行未成年人保护法有关规定，校外培训机构不得占用国家法定节假日、休息日及寒暑假期组织学科类培训。培训机构不得高薪挖抢学校教师；从事学科类培训的人员必须具备相应教师资格，并将教师资格信息在培训机构场所及网站显著位置公布；不得泄露家长和学生个人信息。根据市场需求、培训成本等因素确定培训机构收费项目和标准，向社会公示、接受监督。全面使用《中小学生校外培训服务合同（示范文本）》。进一步健全常态化排查机制，及时掌握校外培训机构情况及信息，完善“黑白名单”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15.强化常态运营监管。严格控制资本过度涌入培训机构，培训机构融资及收费应主要用于培训业务经营，坚决禁止为推销业务以虚构原价、虚假折扣、虚假宣传等方式进行不正当竞争，依法依规坚决查处行业垄断行为。线上培训要注重保护学生视力，每课时不超过30分钟，课程间隔不少于10分钟，培训结束时间不晚于21点。积极探索利用人工智能技术合理控制学生连续线上培训时间。线上培训机构不得提供和传播“拍照搜题”等惰化学生思维能力、影响学生独立思考、违背教育教学规律的不良学习方法。聘请在境内的外籍人员要符合国家有关规定，严禁聘请在境外的外籍人员开展培训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五、大力提升教育教学质量，确保学生在校内学足学好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16.促进义务教育优质均衡发展。各地要巩固义务教育基本均衡成果，积极开展义务教育优质均衡创建工作，促进新优质学校成长，扩大优质教育资源。积极推进集团化办学、学区化治理和城乡学校共同体建设，充分激发办学活力，整体提升学校办学水平，加快缩小城乡、区域、学校间教育水平差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17.提升课堂教学质量。教育部门要指导学校健全教学管理规程，优化教学方式，强化教学管理，提升学生在校学习效率。学校要开齐开足开好国家规定课程，积极推进幼小科学衔接，帮助学生做好入学准备，严格按课程标准零起点教学，做到应教尽教，确保学生达到国家规定的学业质量标准。学校不得随意增减课时、提高难度、加快进度；降低考试压力，改进考试方法，不得有提前结课备考、违规统考、考题超标、考试排名等行为；考试成绩呈现实行等级制，坚决克服唯分数的倾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18.深化高中招生改革。各地要积极完善基于初中学业水平考试成绩、结合综合素质评价的高中阶段学校招生录取模式，依据不同科目特点，完善考试方式和成绩呈现方式。坚持以学定考，进一步提升中考命题质量，防止偏题、怪题、超过课程标准的难题。逐步提高优质普通高中招生指标分配到区域内初中的比例，规范普通高中招生秩序，杜绝违规招生、恶性竞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19.纳入质量评价体系。地方各级党委和政府要树立正确政绩观，严禁下达升学指标或片面以升学率评价学校和教师。认真落实义务教育质量评价指南，将“双减”工作成效纳入县域和学校义务教育质量评价，把学生参加课后服务、校外培训及培训费用支出减少等情况作为重要评价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六、强化配套治理，提升支撑保障能力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20.保障学校课后服务条件。各地要根据学生规模和中小学教职工编制标准，统筹核定编制，配足配齐教师。省级政府要制定学校课后服务经费保障办法，明确相关标准，采取财政补贴、服务性收费或代收费等方式，确保经费筹措到位。课后服务经费主要用于参与课后服务教师和相关人员的补助，有关部门在核定绩效工资总量时，应考虑教师参与课后服务的因素，把用于教师课后服务补助的经费额度，作为增量纳入绩效工资并设立相应项目，不作为次年正常核定绩效工资总量的基数；对聘请校外人员提供课后服务的，课后服务补助可按劳务费管理。教师参加课后服务的表现应作为职称评聘、表彰奖励和绩效工资分配的重要参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21.完善家校社协同机制。进一步明晰家校育人责任，密切家校沟通，创新协同方式，推进协同育人共同体建设。教育部门要会同妇联等部门，办好家长学校或网上家庭教育指导平台，推动社区家庭教育指导中心、服务站点建设，引导家长树立科学育儿观念，理性确定孩子成长预期，努力形成减负共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22.做好培训广告管控。中央有关部门、地方各级党委和政府要加强校外培训广告管理，确保主流媒体、新媒体、公共场所、居民区各类广告牌和网络平台等不刊登、不播发校外培训广告。不得在中小学校、幼儿园内开展商业广告活动，不得利用中小学和幼儿园的教材、教辅材料、练习册、文具、教具、校服、校车等发布或变相发布广告。依法依规严肃查处各种夸大培训效果、误导公众教育观念、制造家长焦虑的校外培训违法违规广告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七、扎实做好试点探索，确保治理工作稳妥推进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23.明确试点工作要求。在全面开展治理工作的同时，确定北京市、上海市、沈阳市、广州市、成都市、郑州市、长治市、威海市、南通市为全国试点，其他省份至少选择1个地市开展试点，试点内容为第24、25、26条所列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24.坚决压减学科类校外培训。对现有学科类培训机构重新审核登记，逐步大大压减，解决过多过滥问题；依法依规严肃查处存在不符合资质、管理混乱、借机敛财、虚假宣传、与学校勾连牟利等严重问题的机构。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25.合理利用校内外资源。鼓励有条件的学校在课余时间向学生提供兴趣类课后服务活动，供学生自主选择参加。课后服务不能满足部分学生发展兴趣特长等特殊需要的，可适当引进非学科类校外培训机构参与课后服务，由教育部门负责组织遴选，供学校选择使用，并建立评估退出机制，对出现服务水平低下、恶意在校招揽生源、不按规定提供服务、扰乱学校教育教学和招生秩序等问题的培训机构，坚决取消培训资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26.强化培训收费监管。坚持校外培训公益属性，充分考虑其涉及重大民生的特点，将义务教育阶段学科类校外培训收费纳入政府指导价管理，科学合理确定计价办法，明确收费标准，坚决遏制过高收费和过度逐利行为。通过第三方托管、风险储备金等方式，对校外培训机构预收费进行风险管控，加强对培训领域贷款的监管，有效预防“退费难”、“卷钱跑路”等问题发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八、精心组织实施，务求取得实效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27.全面系统做好部署。加强党对“双减”工作的领导，各省（自治区、直辖市）党委和政府要把“双减”工作作为重大民生工程，列入重要议事日程，纳入省（自治区、直辖市）党委教育工作领导小组重点任务，结合本地实际细化完善措施，确保“双减”工作落实落地。学校党组织要认真做好教师思想工作，充分调动广大教师积极性、创造性。校外培训机构要加强自身党建工作，发挥党组织战斗堡垒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28.明确部门工作责任。教育部门要抓好统筹协调，会同有关部门加强对校外培训机构日常监管，指导学校做好“双减”有关工作；宣传、网信部门要加强舆论宣传引导，网信部门要配合教育、工业和信息化部门做好线上校外培训监管工作；机构编制部门要及时为中小学校补齐补足教师编制；发展改革部门要会同财政、教育等部门制定学校课后服务性或代收费标准，会同教育等部门制定试点地区校外培训机构收费指导政策；财政部门要加强学校课后服务经费保障；人力资源社会保障部门要做好教师绩效工资核定有关工作；民政部门要做好学科类培训机构登记工作；市场监管部门要做好非学科类培训机构登记工作和校外培训机构收费、广告、反垄断等方面监管工作，加大执法检查力度，会同教育部门依法依规严肃查处违法违规培训行为；政法部门要做好相关维护和谐稳定工作；公安部门要依法加强治安管理，联动开展情报信息搜集研判和预警预防，做好相关涉稳事件应急处置工作；人民银行、银保监、证监部门负责指导银行等机构做好校外培训机构预收费风险管控工作，清理整顿培训机构融资、上市等行为；其他相关部门按照各自职责负起责任、抓好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29.联合开展专项治理行动。建立“双减”工作专门协调机制，集中组织开展专项治理行动。在教育部设立协调机制专门工作机构，做好统筹协调，加强对各地工作指导。各省（自治区、直辖市）要完善工作机制，建立专门工作机构，按照“双减”工作目标任务，明确专项治理行动的路线图、时间表和责任人。突出工作重点、关键环节、薄弱地区、重点对象等，开展全面排查整治。对违法违规行为要依法依规严惩重罚，形成警示震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30.强化督促检查和宣传引导。将落实“双减”工作情况及实际成效，作为督查督办、漠视群众利益专项整治和政府履行教育职责督导评价的重要内容。建立责任追究机制，对责任不落实、措施不到位的地方、部门、学校及相关责任人要依法依规严肃追究责任。各地要设立监管平台和专门举报电话，畅通群众监督举报途径。各省（自治区、直辖市）要及时总结“双减”工作中的好经验好做法，并做好宣传推广。新闻媒体要坚持正确舆论导向，营造良好社会氛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 w:hAnsi="仿宋" w:eastAsia="仿宋" w:cs="仿宋"/>
          <w:snapToGrid w:val="0"/>
          <w:color w:val="000000"/>
          <w:spacing w:val="8"/>
          <w:kern w:val="0"/>
          <w:sz w:val="31"/>
          <w:szCs w:val="31"/>
          <w:lang w:val="en-US" w:eastAsia="zh-CN"/>
        </w:rPr>
      </w:pPr>
      <w:r>
        <w:rPr>
          <w:rFonts w:hint="eastAsia" w:ascii="仿宋" w:hAnsi="仿宋" w:eastAsia="仿宋" w:cs="仿宋"/>
          <w:snapToGrid w:val="0"/>
          <w:color w:val="000000"/>
          <w:spacing w:val="8"/>
          <w:kern w:val="0"/>
          <w:sz w:val="31"/>
          <w:szCs w:val="31"/>
          <w:lang w:val="en-US" w:eastAsia="zh-CN"/>
        </w:rPr>
        <w:t>各地在做好义务教育阶段学生“双减”工作的同时，还要统筹做好面向3至6岁学龄前儿童和普通高中学生的校外培训治理工作，不得开展面向学龄前儿童的线上培训，严禁以学前班、幼小衔接班、思维训练班等名义面向学龄前儿童开展线下学科类（含外语）培训。不再审批新的面向学龄前儿童的校外培训机构和面向普通高中学生的学科类校外培训机构。对面向普通高中学生的学科类培训机构的管理，参照本意见有关规定执行。</w:t>
      </w:r>
    </w:p>
    <w:p>
      <w:pPr>
        <w:spacing w:before="38" w:line="247" w:lineRule="auto"/>
        <w:ind w:right="90"/>
        <w:rPr>
          <w:rFonts w:hint="default" w:ascii="仿宋" w:hAnsi="仿宋" w:eastAsia="仿宋" w:cs="仿宋"/>
          <w:spacing w:val="8"/>
          <w:sz w:val="31"/>
          <w:szCs w:val="31"/>
          <w:lang w:val="en-US" w:eastAsia="zh-CN"/>
        </w:rPr>
      </w:pPr>
    </w:p>
    <w:p>
      <w:pPr>
        <w:spacing w:before="38" w:line="247" w:lineRule="auto"/>
        <w:ind w:left="5" w:right="90" w:firstLine="644"/>
        <w:rPr>
          <w:rFonts w:hint="eastAsia" w:ascii="仿宋" w:hAnsi="仿宋" w:eastAsia="仿宋" w:cs="仿宋"/>
          <w:spacing w:val="8"/>
          <w:sz w:val="31"/>
          <w:szCs w:val="31"/>
          <w:lang w:eastAsia="zh-CN"/>
        </w:rPr>
      </w:pPr>
    </w:p>
    <w:sectPr>
      <w:headerReference r:id="rId6" w:type="default"/>
      <w:pgSz w:w="11906" w:h="16839"/>
      <w:pgMar w:top="0" w:right="0" w:bottom="0" w:left="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DBiNTc3ZDE1MmMxNzE5YTA3ZmQ1Yjc2ZDVhZGRjODkifQ=="/>
  </w:docVars>
  <w:rsids>
    <w:rsidRoot w:val="00000000"/>
    <w:rsid w:val="0BAB4DBC"/>
    <w:rsid w:val="0DD340D1"/>
    <w:rsid w:val="123551B8"/>
    <w:rsid w:val="198940D4"/>
    <w:rsid w:val="1E1E33A9"/>
    <w:rsid w:val="2FAE702D"/>
    <w:rsid w:val="3C6D717A"/>
    <w:rsid w:val="421354A0"/>
    <w:rsid w:val="51AC22C1"/>
    <w:rsid w:val="634960AA"/>
    <w:rsid w:val="706C1141"/>
    <w:rsid w:val="7FC739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Hyperlink"/>
    <w:basedOn w:val="4"/>
    <w:uiPriority w:val="0"/>
    <w:rPr>
      <w:color w:val="0000FF"/>
      <w:u w:val="single"/>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15</Pages>
  <Words>13003</Words>
  <Characters>13115</Characters>
  <TotalTime>4</TotalTime>
  <ScaleCrop>false</ScaleCrop>
  <LinksUpToDate>false</LinksUpToDate>
  <CharactersWithSpaces>13186</CharactersWithSpaces>
  <Application>WPS Office_11.1.0.11636_F1E327BC-269C-435d-A152-05C5408002CA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2022-04-19T17:50:00Z</dcterms:created>
  <dc:creator>Baby F.ish</dc:creator>
  <cp:lastModifiedBy>Bel Canto</cp:lastModifiedBy>
  <dcterms:modified xsi:type="dcterms:W3CDTF">2022-04-28T07:53:30Z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2022-04-20T09:08:40Z</vt:filetime>
  </property>
  <property fmtid="{D5CDD505-2E9C-101B-9397-08002B2CF9AE}" pid="4" name="KSOProductBuildVer">
    <vt:lpwstr>2052-11.1.0.11636</vt:lpwstr>
  </property>
  <property fmtid="{D5CDD505-2E9C-101B-9397-08002B2CF9AE}" pid="5" name="ICV">
    <vt:lpwstr>6999E27477194A36812CD9524EB345BF</vt:lpwstr>
  </property>
  <property fmtid="{D5CDD505-2E9C-101B-9397-08002B2CF9AE}" pid="6" name="commondata">
    <vt:lpwstr>eyJoZGlkIjoiNGE5MjdjZDg3OThmMjdiNGEwMzFmZjQxOTkxNjRjNDIifQ==</vt:lpwstr>
  </property>
</Properties>
</file>