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宋体" w:hAnsi="宋体" w:cs="宋体"/>
          <w:b/>
          <w:bCs/>
          <w:kern w:val="0"/>
          <w:sz w:val="28"/>
          <w:szCs w:val="28"/>
          <w:lang w:val="en-US" w:eastAsia="zh-CN"/>
        </w:rPr>
      </w:pPr>
      <w:r>
        <w:rPr>
          <w:rFonts w:hint="eastAsia" w:ascii="宋体" w:hAnsi="宋体" w:cs="宋体"/>
          <w:b/>
          <w:bCs/>
          <w:kern w:val="0"/>
          <w:sz w:val="28"/>
          <w:szCs w:val="28"/>
          <w:lang w:val="en-US" w:eastAsia="zh-CN"/>
        </w:rPr>
        <w:t>梳纲理目，自思臻善</w:t>
      </w:r>
    </w:p>
    <w:p>
      <w:pPr>
        <w:keepNext w:val="0"/>
        <w:keepLines w:val="0"/>
        <w:pageBreakBefore w:val="0"/>
        <w:kinsoku/>
        <w:wordWrap/>
        <w:overflowPunct/>
        <w:topLinePunct w:val="0"/>
        <w:autoSpaceDE/>
        <w:autoSpaceDN/>
        <w:bidi w:val="0"/>
        <w:adjustRightInd/>
        <w:snapToGrid/>
        <w:spacing w:line="360" w:lineRule="auto"/>
        <w:jc w:val="right"/>
        <w:textAlignment w:val="auto"/>
        <w:rPr>
          <w:rFonts w:hint="eastAsia" w:ascii="宋体" w:hAnsi="宋体" w:eastAsia="宋体" w:cs="宋体"/>
          <w:b/>
          <w:bCs/>
          <w:color w:val="000000"/>
          <w:kern w:val="0"/>
          <w:sz w:val="28"/>
          <w:szCs w:val="28"/>
          <w:lang w:val="en-US" w:eastAsia="zh-CN" w:bidi="ar"/>
        </w:rPr>
      </w:pPr>
      <w:r>
        <w:rPr>
          <w:rFonts w:hint="eastAsia" w:ascii="宋体" w:hAnsi="宋体" w:cs="宋体"/>
          <w:b/>
          <w:bCs/>
          <w:kern w:val="0"/>
          <w:sz w:val="28"/>
          <w:szCs w:val="28"/>
          <w:lang w:val="en-US" w:eastAsia="zh-CN"/>
        </w:rPr>
        <w:t>——</w:t>
      </w:r>
      <w:r>
        <w:rPr>
          <w:rFonts w:hint="eastAsia" w:ascii="宋体" w:hAnsi="宋体" w:eastAsia="宋体" w:cs="宋体"/>
          <w:b/>
          <w:bCs/>
          <w:color w:val="000000"/>
          <w:kern w:val="0"/>
          <w:sz w:val="28"/>
          <w:szCs w:val="28"/>
          <w:lang w:val="en-US" w:eastAsia="zh-CN" w:bidi="ar"/>
        </w:rPr>
        <w:t>双流区李春兰名师工作室第十次研修简讯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冬日的阳光洒在身上，温暖、舒服，没有夏季阳光那么刺眼。像是母亲用手轻轻地抚摸着我，温暖充满我的全身。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2021年12月24日，就是这样一天，冬日暖阳，时光静好。上午9:00双流区名师李春兰工作室通过网络教研的方式举行了研修活动，本次活动以“梳纲理目，自思臻善”，参加此次研修活动的成员有工作室导师、成都电子信息学校副校长李春兰老师，唐华芹、蒋瑛、廖辉、覃叶、蒋佩岑、郭晓丽、张婷、李瑶第 10 期工作室学员。活动内容主要有两项：工作室每一位学员做研修主题文献研究成果分享，李春兰老师点评学员研修成果并做出修改建议。本次研修活动由双流艺体中学教师、工作室学员蒋瑛老师主持。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宋体" w:hAnsi="宋体" w:eastAsia="宋体" w:cs="宋体"/>
          <w:sz w:val="24"/>
          <w:szCs w:val="24"/>
        </w:rPr>
      </w:pPr>
      <w:r>
        <w:rPr>
          <w:rFonts w:ascii="宋体" w:hAnsi="宋体" w:eastAsia="宋体" w:cs="宋体"/>
          <w:sz w:val="24"/>
          <w:szCs w:val="24"/>
        </w:rPr>
        <w:drawing>
          <wp:inline distT="0" distB="0" distL="114300" distR="114300">
            <wp:extent cx="5798185" cy="3905250"/>
            <wp:effectExtent l="0" t="0" r="1206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798185" cy="3905250"/>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center"/>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1：工作室导师李春兰及全体学员线上研修，蒋瑛做主持】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文献研究对于做教育研究而言具有以下价值：反映了知识产生的程序，是一切方法的方法；是搜集资料的第一步，如同站在巨人肩膀向前看；构建理论不必都从“凡物皆可燃”开始；可寻找问题的定位、经验的基础、未来进一步研究方向的理由；言而有据，表达研究的诚实、诚信，从而表达对先行者的尊重。李春兰工作室的学员们在结合各自的研修主题，在过去几周的时间搜集了大量的文献，并对其进行鉴别与整理，初步撰写出各自研修主题的文献研究成果文本，本次分享成果的有六位学员。</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首先由</w:t>
      </w:r>
      <w:r>
        <w:rPr>
          <w:rFonts w:hint="eastAsia" w:ascii="宋体" w:hAnsi="宋体" w:eastAsia="宋体" w:cs="宋体"/>
          <w:color w:val="000000"/>
          <w:kern w:val="0"/>
          <w:sz w:val="24"/>
          <w:szCs w:val="24"/>
          <w:lang w:val="en-US" w:eastAsia="zh-CN" w:bidi="ar"/>
        </w:rPr>
        <w:t>来自成都信息工程学院常乐实验学校教师的</w:t>
      </w:r>
      <w:r>
        <w:rPr>
          <w:rFonts w:hint="eastAsia" w:ascii="宋体" w:hAnsi="宋体" w:eastAsia="宋体" w:cs="宋体"/>
          <w:b w:val="0"/>
          <w:bCs w:val="0"/>
          <w:color w:val="000000"/>
          <w:kern w:val="0"/>
          <w:sz w:val="24"/>
          <w:szCs w:val="24"/>
          <w:lang w:val="en-US" w:eastAsia="zh-CN" w:bidi="ar"/>
        </w:rPr>
        <w:t>廖辉老师分享了《“陪你走过青春期”——初中亲自活动策略研究》文献综述，在他的报告中，首先提出了：“</w:t>
      </w:r>
      <w:r>
        <w:rPr>
          <w:rFonts w:hint="eastAsia" w:ascii="宋体" w:hAnsi="宋体" w:eastAsia="宋体" w:cs="宋体"/>
          <w:b w:val="0"/>
          <w:bCs w:val="0"/>
          <w:color w:val="000000"/>
          <w:kern w:val="0"/>
          <w:sz w:val="24"/>
          <w:szCs w:val="24"/>
          <w:lang w:val="en-US" w:eastAsia="zh-CN" w:bidi="ar"/>
        </w:rPr>
        <w:t>青少年青春期问题是社会工作关注的重要问题之一</w:t>
      </w:r>
      <w:r>
        <w:rPr>
          <w:rFonts w:hint="eastAsia" w:ascii="宋体" w:hAnsi="宋体" w:eastAsia="宋体" w:cs="宋体"/>
          <w:b w:val="0"/>
          <w:bCs w:val="0"/>
          <w:color w:val="000000"/>
          <w:kern w:val="0"/>
          <w:sz w:val="24"/>
          <w:szCs w:val="24"/>
          <w:lang w:val="en-US" w:eastAsia="zh-CN" w:bidi="ar"/>
        </w:rPr>
        <w:t>”，他通过搜集论文大量文献，并对其作出了鉴别与整理，例如沈蝶的《</w:t>
      </w:r>
      <w:r>
        <w:rPr>
          <w:rFonts w:hint="eastAsia" w:ascii="宋体" w:hAnsi="宋体" w:eastAsia="宋体" w:cs="宋体"/>
          <w:b w:val="0"/>
          <w:bCs w:val="0"/>
          <w:color w:val="000000"/>
          <w:kern w:val="0"/>
          <w:sz w:val="24"/>
          <w:szCs w:val="24"/>
          <w:lang w:val="en-US" w:eastAsia="zh-CN" w:bidi="ar"/>
        </w:rPr>
        <w:t>小组工作介入青春期亲子冲突中的亲职教育</w:t>
      </w:r>
      <w:r>
        <w:rPr>
          <w:rFonts w:hint="eastAsia" w:ascii="宋体" w:hAnsi="宋体" w:eastAsia="宋体" w:cs="宋体"/>
          <w:b w:val="0"/>
          <w:bCs w:val="0"/>
          <w:color w:val="000000"/>
          <w:kern w:val="0"/>
          <w:sz w:val="24"/>
          <w:szCs w:val="24"/>
          <w:lang w:val="en-US" w:eastAsia="zh-CN" w:bidi="ar"/>
        </w:rPr>
        <w:t>》、高超的《</w:t>
      </w:r>
      <w:r>
        <w:rPr>
          <w:rFonts w:hint="eastAsia" w:ascii="宋体" w:hAnsi="宋体" w:eastAsia="宋体" w:cs="宋体"/>
          <w:b w:val="0"/>
          <w:bCs w:val="0"/>
          <w:color w:val="000000"/>
          <w:kern w:val="0"/>
          <w:sz w:val="24"/>
          <w:szCs w:val="24"/>
          <w:lang w:val="en-US" w:eastAsia="zh-CN" w:bidi="ar"/>
        </w:rPr>
        <w:t>新媒体环境下青春期学生家庭教育研究</w:t>
      </w:r>
      <w:r>
        <w:rPr>
          <w:rFonts w:hint="eastAsia" w:ascii="宋体" w:hAnsi="宋体" w:eastAsia="宋体" w:cs="宋体"/>
          <w:b w:val="0"/>
          <w:bCs w:val="0"/>
          <w:color w:val="000000"/>
          <w:kern w:val="0"/>
          <w:sz w:val="24"/>
          <w:szCs w:val="24"/>
          <w:lang w:val="en-US" w:eastAsia="zh-CN" w:bidi="ar"/>
        </w:rPr>
        <w:t>》、秦珊珊的《</w:t>
      </w:r>
      <w:r>
        <w:rPr>
          <w:rFonts w:hint="eastAsia" w:ascii="宋体" w:hAnsi="宋体" w:eastAsia="宋体" w:cs="宋体"/>
          <w:b w:val="0"/>
          <w:bCs w:val="0"/>
          <w:color w:val="000000"/>
          <w:kern w:val="0"/>
          <w:sz w:val="24"/>
          <w:szCs w:val="24"/>
          <w:lang w:val="en-US" w:eastAsia="zh-CN" w:bidi="ar"/>
        </w:rPr>
        <w:t>全人教育视野下初中生青春期教育研究</w:t>
      </w:r>
      <w:r>
        <w:rPr>
          <w:rFonts w:hint="eastAsia" w:ascii="宋体" w:hAnsi="宋体" w:eastAsia="宋体" w:cs="宋体"/>
          <w:b w:val="0"/>
          <w:bCs w:val="0"/>
          <w:color w:val="000000"/>
          <w:kern w:val="0"/>
          <w:sz w:val="24"/>
          <w:szCs w:val="24"/>
          <w:lang w:val="en-US" w:eastAsia="zh-CN" w:bidi="ar"/>
        </w:rPr>
        <w:t>》都从各自的视角阐释了学生的青春期问题，同时通过研读王汉滨《</w:t>
      </w:r>
      <w:r>
        <w:rPr>
          <w:rFonts w:hint="eastAsia" w:ascii="宋体" w:hAnsi="宋体" w:eastAsia="宋体" w:cs="宋体"/>
          <w:b w:val="0"/>
          <w:bCs w:val="0"/>
          <w:color w:val="000000"/>
          <w:kern w:val="0"/>
          <w:sz w:val="24"/>
          <w:szCs w:val="24"/>
          <w:lang w:val="en-US" w:eastAsia="zh-CN" w:bidi="ar"/>
        </w:rPr>
        <w:t>母亲神经质人格与亲子关系</w:t>
      </w:r>
      <w:r>
        <w:rPr>
          <w:rFonts w:hint="eastAsia" w:ascii="宋体" w:hAnsi="宋体" w:eastAsia="宋体" w:cs="宋体"/>
          <w:b w:val="0"/>
          <w:bCs w:val="0"/>
          <w:color w:val="000000"/>
          <w:kern w:val="0"/>
          <w:sz w:val="24"/>
          <w:szCs w:val="24"/>
          <w:lang w:val="en-US" w:eastAsia="zh-CN" w:bidi="ar"/>
        </w:rPr>
        <w:t>》、王春惠的《</w:t>
      </w:r>
      <w:r>
        <w:rPr>
          <w:rFonts w:hint="eastAsia" w:ascii="宋体" w:hAnsi="宋体" w:eastAsia="宋体" w:cs="宋体"/>
          <w:b w:val="0"/>
          <w:bCs w:val="0"/>
          <w:color w:val="000000"/>
          <w:kern w:val="0"/>
          <w:sz w:val="24"/>
          <w:szCs w:val="24"/>
          <w:lang w:val="en-US" w:eastAsia="zh-CN" w:bidi="ar"/>
        </w:rPr>
        <w:t>初中生亲子冲突处理策略对心理健康的影响及干预研究</w:t>
      </w:r>
      <w:r>
        <w:rPr>
          <w:rFonts w:hint="eastAsia" w:ascii="宋体" w:hAnsi="宋体" w:eastAsia="宋体" w:cs="宋体"/>
          <w:b w:val="0"/>
          <w:bCs w:val="0"/>
          <w:color w:val="000000"/>
          <w:kern w:val="0"/>
          <w:sz w:val="24"/>
          <w:szCs w:val="24"/>
          <w:lang w:val="en-US" w:eastAsia="zh-CN" w:bidi="ar"/>
        </w:rPr>
        <w:t>》、霍利婷《</w:t>
      </w:r>
      <w:r>
        <w:rPr>
          <w:rFonts w:hint="eastAsia" w:ascii="宋体" w:hAnsi="宋体" w:eastAsia="宋体" w:cs="宋体"/>
          <w:b w:val="0"/>
          <w:bCs w:val="0"/>
          <w:color w:val="000000"/>
          <w:kern w:val="0"/>
          <w:sz w:val="24"/>
          <w:szCs w:val="24"/>
          <w:lang w:val="en-US" w:eastAsia="zh-CN" w:bidi="ar"/>
        </w:rPr>
        <w:t>上海市初中生家庭亲子冲突的调查与分析</w:t>
      </w:r>
      <w:r>
        <w:rPr>
          <w:rFonts w:hint="eastAsia" w:ascii="宋体" w:hAnsi="宋体" w:eastAsia="宋体" w:cs="宋体"/>
          <w:b w:val="0"/>
          <w:bCs w:val="0"/>
          <w:color w:val="000000"/>
          <w:kern w:val="0"/>
          <w:sz w:val="24"/>
          <w:szCs w:val="24"/>
          <w:lang w:val="en-US" w:eastAsia="zh-CN" w:bidi="ar"/>
        </w:rPr>
        <w:t>》，提出了解决青春期问题的家庭教育及亲子活动策略。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b/>
          <w:bCs/>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6112510" cy="4415790"/>
            <wp:effectExtent l="0" t="0" r="2540" b="3810"/>
            <wp:docPr id="2" name="图片 2" descr="A[5UGP%]E4O][QE]LGX[3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5UGP%]E4O][QE]LGX[3IM"/>
                    <pic:cNvPicPr>
                      <a:picLocks noChangeAspect="1"/>
                    </pic:cNvPicPr>
                  </pic:nvPicPr>
                  <pic:blipFill>
                    <a:blip r:embed="rId5"/>
                    <a:srcRect b="6917"/>
                    <a:stretch>
                      <a:fillRect/>
                    </a:stretch>
                  </pic:blipFill>
                  <pic:spPr>
                    <a:xfrm>
                      <a:off x="0" y="0"/>
                      <a:ext cx="6112510" cy="4415790"/>
                    </a:xfrm>
                    <a:prstGeom prst="rect">
                      <a:avLst/>
                    </a:prstGeom>
                  </pic:spPr>
                </pic:pic>
              </a:graphicData>
            </a:graphic>
          </wp:inline>
        </w:drawing>
      </w:r>
      <w:r>
        <w:rPr>
          <w:rFonts w:hint="eastAsia" w:ascii="宋体" w:hAnsi="宋体" w:eastAsia="宋体" w:cs="宋体"/>
          <w:b/>
          <w:bCs/>
          <w:color w:val="000000"/>
          <w:kern w:val="0"/>
          <w:sz w:val="24"/>
          <w:szCs w:val="24"/>
          <w:lang w:val="en-US" w:eastAsia="zh-CN" w:bidi="ar"/>
        </w:rPr>
        <w:t>【图 2：工作室学员廖辉做</w:t>
      </w:r>
      <w:r>
        <w:rPr>
          <w:rFonts w:hint="eastAsia" w:ascii="宋体" w:hAnsi="宋体" w:eastAsia="宋体" w:cs="宋体"/>
          <w:b/>
          <w:bCs/>
          <w:color w:val="000000"/>
          <w:kern w:val="0"/>
          <w:sz w:val="24"/>
          <w:szCs w:val="24"/>
          <w:lang w:val="en-US" w:eastAsia="zh-CN" w:bidi="ar"/>
        </w:rPr>
        <w:t>文献综述分享</w:t>
      </w:r>
      <w:r>
        <w:rPr>
          <w:rFonts w:hint="eastAsia" w:ascii="宋体" w:hAnsi="宋体" w:eastAsia="宋体" w:cs="宋体"/>
          <w:b/>
          <w:bCs/>
          <w:color w:val="000000"/>
          <w:kern w:val="0"/>
          <w:sz w:val="24"/>
          <w:szCs w:val="24"/>
          <w:lang w:val="en-US" w:eastAsia="zh-CN" w:bidi="ar"/>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二位分享文献研究成果的是自成都电子信息学校的唐华芹老师，她分享的主题是《积极心理学视角下的学生自主治理能力培养》的文献研究，在她的文献研究报告中结合当代中职生的特点，提出了中职学生自主能力培养的必要性，并重点研究了标题中涉及的几个核心概念：“自主”、“治理”、“能力”，并结合不同文献对上述概念的阐释，整理出了三大核心概念的内涵及外延，并结合积极心理学理论以及国家相关的政策方针提出了培养中职学生自主能力的方法与策略。</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center"/>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drawing>
          <wp:anchor distT="0" distB="0" distL="114300" distR="114300" simplePos="0" relativeHeight="251659264" behindDoc="0" locked="0" layoutInCell="1" allowOverlap="1">
            <wp:simplePos x="0" y="0"/>
            <wp:positionH relativeFrom="column">
              <wp:posOffset>283210</wp:posOffset>
            </wp:positionH>
            <wp:positionV relativeFrom="paragraph">
              <wp:posOffset>-16510</wp:posOffset>
            </wp:positionV>
            <wp:extent cx="5529580" cy="3209925"/>
            <wp:effectExtent l="0" t="0" r="13970" b="9525"/>
            <wp:wrapSquare wrapText="bothSides"/>
            <wp:docPr id="3" name="图片 3" descr="U8R)X3SAMZ}MZ{5}PW3NV@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U8R)X3SAMZ}MZ{5}PW3NV@K"/>
                    <pic:cNvPicPr>
                      <a:picLocks noChangeAspect="1"/>
                    </pic:cNvPicPr>
                  </pic:nvPicPr>
                  <pic:blipFill>
                    <a:blip r:embed="rId6"/>
                    <a:stretch>
                      <a:fillRect/>
                    </a:stretch>
                  </pic:blipFill>
                  <pic:spPr>
                    <a:xfrm>
                      <a:off x="0" y="0"/>
                      <a:ext cx="5529580" cy="3209925"/>
                    </a:xfrm>
                    <a:prstGeom prst="rect">
                      <a:avLst/>
                    </a:prstGeom>
                  </pic:spPr>
                </pic:pic>
              </a:graphicData>
            </a:graphic>
          </wp:anchor>
        </w:drawing>
      </w:r>
      <w:r>
        <w:rPr>
          <w:rFonts w:hint="eastAsia" w:ascii="宋体" w:hAnsi="宋体" w:eastAsia="宋体" w:cs="宋体"/>
          <w:b/>
          <w:bCs/>
          <w:color w:val="000000"/>
          <w:kern w:val="0"/>
          <w:sz w:val="24"/>
          <w:szCs w:val="24"/>
          <w:lang w:val="en-US" w:eastAsia="zh-CN" w:bidi="ar"/>
        </w:rPr>
        <w:t>【图 3：工作室学员唐华芹做文献综述分享】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第三位分享成果的是来自</w:t>
      </w:r>
      <w:r>
        <w:rPr>
          <w:rFonts w:hint="eastAsia" w:ascii="宋体" w:hAnsi="宋体" w:eastAsia="宋体" w:cs="宋体"/>
          <w:color w:val="000000"/>
          <w:kern w:val="0"/>
          <w:sz w:val="24"/>
          <w:szCs w:val="24"/>
          <w:lang w:val="en-US" w:eastAsia="zh-CN" w:bidi="ar"/>
        </w:rPr>
        <w:t>来自成都信息工程学院常乐实验学校教师的</w:t>
      </w:r>
      <w:r>
        <w:rPr>
          <w:rFonts w:hint="eastAsia" w:ascii="宋体" w:hAnsi="宋体" w:eastAsia="宋体" w:cs="宋体"/>
          <w:b w:val="0"/>
          <w:bCs w:val="0"/>
          <w:color w:val="000000"/>
          <w:kern w:val="0"/>
          <w:sz w:val="24"/>
          <w:szCs w:val="24"/>
          <w:lang w:val="en-US" w:eastAsia="zh-CN" w:bidi="ar"/>
        </w:rPr>
        <w:t>蒋佩岑老师，她分享的主题是《“双减”背景下初中班主任做好初三班级学习管理举措》文献研究，蒋老师从课题的背景与思考、核心概念的界定与阐释、以及初三班级学习管理举措，分别向我们介绍了目前初三学生在课内外作业中存在的问题，并立足国家“双减”政策的出台，解释了作业管理的必要性与可行性，然后不同程度地界定了“学习管理”、“初三”的核心概念，最后立足于班主任角色，提出了初三班级作业管理的措施。整个分享的内容体系完整、逻辑严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5516880" cy="3128010"/>
            <wp:effectExtent l="0" t="0" r="7620" b="15240"/>
            <wp:docPr id="4" name="图片 4" descr="TXK0U@{2A@W_I}6]F2N9OH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TXK0U@{2A@W_I}6]F2N9OHX"/>
                    <pic:cNvPicPr>
                      <a:picLocks noChangeAspect="1"/>
                    </pic:cNvPicPr>
                  </pic:nvPicPr>
                  <pic:blipFill>
                    <a:blip r:embed="rId7"/>
                    <a:stretch>
                      <a:fillRect/>
                    </a:stretch>
                  </pic:blipFill>
                  <pic:spPr>
                    <a:xfrm>
                      <a:off x="0" y="0"/>
                      <a:ext cx="5516880" cy="31280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4：工作室学员蒋佩岑做文献综述分享】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四位分享者是来自双流艺体中学的蒋瑛老师，她分享的主题是《积极心理学视角下的艺体类高中班级治理体系实践研究》，她呈现的不仅仅是文献综述，而是向我们展示了课题的研究方案，从课题的研究背景——政策、理论和自身实践经历，提出了课题选题的依据，并通过拆分主题中的不同核心概念，并将不同概念词组放到知网上查询，搜集相关文献，并对文献的观点论述进行了梳理和总结，提出了现阶段已有文献对积极心理学、班级治理、艺体类班级治理、班级治理体系的研究现状与空白领域，从而进一步论述了课题研究的方向与价值，但由于时间的关系，蒋瑛老师没有给我们呈现出课题研究的实施方案。</w:t>
      </w:r>
    </w:p>
    <w:p>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2953385" cy="2131695"/>
            <wp:effectExtent l="0" t="0" r="18415" b="1905"/>
            <wp:docPr id="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IMG_256"/>
                    <pic:cNvPicPr>
                      <a:picLocks noChangeAspect="1"/>
                    </pic:cNvPicPr>
                  </pic:nvPicPr>
                  <pic:blipFill>
                    <a:blip r:embed="rId8"/>
                    <a:stretch>
                      <a:fillRect/>
                    </a:stretch>
                  </pic:blipFill>
                  <pic:spPr>
                    <a:xfrm>
                      <a:off x="0" y="0"/>
                      <a:ext cx="2953385" cy="2131695"/>
                    </a:xfrm>
                    <a:prstGeom prst="rect">
                      <a:avLst/>
                    </a:prstGeom>
                    <a:noFill/>
                    <a:ln w="9525">
                      <a:noFill/>
                    </a:ln>
                  </pic:spPr>
                </pic:pic>
              </a:graphicData>
            </a:graphic>
          </wp:inline>
        </w:drawing>
      </w:r>
      <w:r>
        <w:rPr>
          <w:rFonts w:ascii="宋体" w:hAnsi="宋体" w:eastAsia="宋体" w:cs="宋体"/>
          <w:kern w:val="0"/>
          <w:sz w:val="24"/>
          <w:szCs w:val="24"/>
          <w:lang w:val="en-US" w:eastAsia="zh-CN" w:bidi="ar"/>
        </w:rPr>
        <w:drawing>
          <wp:inline distT="0" distB="0" distL="114300" distR="114300">
            <wp:extent cx="3053080" cy="2068195"/>
            <wp:effectExtent l="0" t="0" r="13970" b="8255"/>
            <wp:docPr id="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IMG_256"/>
                    <pic:cNvPicPr>
                      <a:picLocks noChangeAspect="1"/>
                    </pic:cNvPicPr>
                  </pic:nvPicPr>
                  <pic:blipFill>
                    <a:blip r:embed="rId9"/>
                    <a:stretch>
                      <a:fillRect/>
                    </a:stretch>
                  </pic:blipFill>
                  <pic:spPr>
                    <a:xfrm>
                      <a:off x="0" y="0"/>
                      <a:ext cx="3053080" cy="2068195"/>
                    </a:xfrm>
                    <a:prstGeom prst="rect">
                      <a:avLst/>
                    </a:prstGeom>
                    <a:noFill/>
                    <a:ln w="9525">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5：工作室学员蒋瑛做课题研究方案分享】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第五位来自西航港一中的李瑶老师，她给我们分享了《初中生积极品格培养的实践研究》文献综述，李瑶老师首先从中内外的大量研究文献中向我们阐释了关于“人格品质”的研究现状，提出了培养积极品格的必要性，并较为详尽的描述了积极品格的内容与特点，从而为如何培养初中生的积极品格确定了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6225540" cy="3323590"/>
            <wp:effectExtent l="0" t="0" r="3810" b="10160"/>
            <wp:docPr id="9" name="图片 9" descr="]H%)6}82UZK76P1(@P2~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6}82UZK76P1(@P2~574"/>
                    <pic:cNvPicPr>
                      <a:picLocks noChangeAspect="1"/>
                    </pic:cNvPicPr>
                  </pic:nvPicPr>
                  <pic:blipFill>
                    <a:blip r:embed="rId10"/>
                    <a:stretch>
                      <a:fillRect/>
                    </a:stretch>
                  </pic:blipFill>
                  <pic:spPr>
                    <a:xfrm>
                      <a:off x="0" y="0"/>
                      <a:ext cx="6225540" cy="33235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eastAsia" w:ascii="宋体" w:hAnsi="宋体" w:eastAsia="宋体" w:cs="宋体"/>
          <w:b/>
          <w:bCs/>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6：工作室学员李瑶做文献综述分享】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最后一位是来自公兴初中的郭小丽老师，她分享了《积极心理学视角下初中班级共生体的建设实践研究》文献研究，她从班级共生体和随班就读的两个核心概念展开分析，首先在郭小丽老师比较分析了共生现象、共生体和班级共生体，阐释了三者之间的逻辑关系，然后向我们讲解了随班就读的内涵、正促演变、我国研究与实施状况以及国外特殊教育状况及对我国随班就读的启示，郭老师通过对国内外的政策和理论研究，系统的阐明了初中班级共生体建设的必要性、目标与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drawing>
          <wp:inline distT="0" distB="0" distL="114300" distR="114300">
            <wp:extent cx="6279515" cy="3509645"/>
            <wp:effectExtent l="0" t="0" r="6985" b="14605"/>
            <wp:docPr id="10" name="图片 10" descr="(EK9W55{}_1`}Y$M5HKE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K9W55{}_1`}Y$M5HKEW)V"/>
                    <pic:cNvPicPr>
                      <a:picLocks noChangeAspect="1"/>
                    </pic:cNvPicPr>
                  </pic:nvPicPr>
                  <pic:blipFill>
                    <a:blip r:embed="rId11"/>
                    <a:stretch>
                      <a:fillRect/>
                    </a:stretch>
                  </pic:blipFill>
                  <pic:spPr>
                    <a:xfrm>
                      <a:off x="0" y="0"/>
                      <a:ext cx="6279515" cy="35096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 7：工作室学员郭小丽做文献研究分享】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最后工作室导师李春兰对文献研究做出了指导，内容总结如下：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eastAsia"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通过本次分享，反映出每位学员的研究都是独具个性化的，这符合多元智力理论的要求；</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在本次活动中，存在概念模糊的问题，“文献综述”“文献研究”“成果交流”有所混淆；</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文献研究的初衷是通过搜索、分类与筛选理清目前对该领域的研究水平，并结合自身的特点凝练出研究主题、背景、目标、价值以及实践措施；</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文献研究的层次由低到高表现为：实践——经验提升（即策略、方法）——理论——思想——价值；</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凝练出研究主题后，研究的方式流程是：研究概念——研究实践水平——理论提炼——政策支撑。</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最后对每位学员的文献研究成果提出了相应的意见与建议。</w:t>
      </w:r>
    </w:p>
    <w:p>
      <w:pPr>
        <w:keepNext w:val="0"/>
        <w:keepLines w:val="0"/>
        <w:pageBreakBefore w:val="0"/>
        <w:widowControl w:val="0"/>
        <w:numPr>
          <w:numId w:val="0"/>
        </w:numPr>
        <w:kinsoku/>
        <w:wordWrap/>
        <w:overflowPunct/>
        <w:topLinePunct w:val="0"/>
        <w:autoSpaceDE/>
        <w:autoSpaceDN/>
        <w:bidi w:val="0"/>
        <w:adjustRightInd/>
        <w:snapToGrid/>
        <w:spacing w:line="360" w:lineRule="auto"/>
        <w:jc w:val="both"/>
        <w:textAlignment w:val="auto"/>
        <w:rPr>
          <w:rFonts w:hint="default" w:ascii="宋体" w:hAnsi="宋体" w:eastAsia="宋体" w:cs="宋体"/>
          <w:b w:val="0"/>
          <w:bCs w:val="0"/>
          <w:color w:val="000000"/>
          <w:kern w:val="0"/>
          <w:sz w:val="24"/>
          <w:szCs w:val="24"/>
          <w:lang w:val="en-US" w:eastAsia="zh-CN" w:bidi="ar"/>
        </w:rPr>
      </w:pPr>
      <w:r>
        <w:rPr>
          <w:rFonts w:hint="default" w:ascii="宋体" w:hAnsi="宋体" w:eastAsia="宋体" w:cs="宋体"/>
          <w:b w:val="0"/>
          <w:bCs w:val="0"/>
          <w:color w:val="000000"/>
          <w:kern w:val="0"/>
          <w:sz w:val="24"/>
          <w:szCs w:val="24"/>
          <w:lang w:val="en-US" w:eastAsia="zh-CN" w:bidi="ar"/>
        </w:rPr>
        <w:drawing>
          <wp:inline distT="0" distB="0" distL="114300" distR="114300">
            <wp:extent cx="6110605" cy="3482975"/>
            <wp:effectExtent l="0" t="0" r="4445" b="3175"/>
            <wp:docPr id="11" name="图片 11" descr="]`)7%8)BP7TTIFVTQ0`7(3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7%8)BP7TTIFVTQ0`7(3T"/>
                    <pic:cNvPicPr>
                      <a:picLocks noChangeAspect="1"/>
                    </pic:cNvPicPr>
                  </pic:nvPicPr>
                  <pic:blipFill>
                    <a:blip r:embed="rId12"/>
                    <a:stretch>
                      <a:fillRect/>
                    </a:stretch>
                  </pic:blipFill>
                  <pic:spPr>
                    <a:xfrm>
                      <a:off x="0" y="0"/>
                      <a:ext cx="6110605" cy="34829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964" w:firstLineChars="400"/>
        <w:jc w:val="center"/>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bCs/>
          <w:color w:val="000000"/>
          <w:kern w:val="0"/>
          <w:sz w:val="24"/>
          <w:szCs w:val="24"/>
          <w:lang w:val="en-US" w:eastAsia="zh-CN" w:bidi="ar"/>
        </w:rPr>
        <w:t>【图8：工作室导师李春兰做指导与总结</w:t>
      </w:r>
      <w:bookmarkStart w:id="0" w:name="_GoBack"/>
      <w:bookmarkEnd w:id="0"/>
      <w:r>
        <w:rPr>
          <w:rFonts w:hint="eastAsia" w:ascii="宋体" w:hAnsi="宋体" w:eastAsia="宋体" w:cs="宋体"/>
          <w:b/>
          <w:bCs/>
          <w:color w:val="000000"/>
          <w:kern w:val="0"/>
          <w:sz w:val="24"/>
          <w:szCs w:val="24"/>
          <w:lang w:val="en-US" w:eastAsia="zh-CN" w:bidi="ar"/>
        </w:rPr>
        <w:t>】</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宋体" w:hAnsi="宋体" w:eastAsia="宋体" w:cs="宋体"/>
          <w:b w:val="0"/>
          <w:bCs w:val="0"/>
          <w:color w:val="000000"/>
          <w:kern w:val="0"/>
          <w:sz w:val="24"/>
          <w:szCs w:val="24"/>
          <w:lang w:val="en-US" w:eastAsia="zh-CN" w:bidi="ar"/>
        </w:rPr>
      </w:pPr>
      <w:r>
        <w:rPr>
          <w:rFonts w:hint="eastAsia" w:ascii="宋体" w:hAnsi="宋体" w:eastAsia="宋体" w:cs="宋体"/>
          <w:b w:val="0"/>
          <w:bCs w:val="0"/>
          <w:color w:val="000000"/>
          <w:kern w:val="0"/>
          <w:sz w:val="24"/>
          <w:szCs w:val="24"/>
          <w:lang w:val="en-US" w:eastAsia="zh-CN" w:bidi="ar"/>
        </w:rPr>
        <w:t>本次活动圆满结束，</w:t>
      </w:r>
      <w:r>
        <w:rPr>
          <w:rFonts w:hint="eastAsia"/>
          <w:sz w:val="24"/>
          <w:szCs w:val="24"/>
          <w:lang w:val="en-US" w:eastAsia="zh-CN"/>
        </w:rPr>
        <w:t>它让我们明白：一个人可以走得很快，但一群人可以走得更远！有方向的前行，有选择的坚持，方可遇见最美的风景。</w:t>
      </w:r>
    </w:p>
    <w:sectPr>
      <w:pgSz w:w="11906" w:h="16838"/>
      <w:pgMar w:top="1134" w:right="1134" w:bottom="1134" w:left="113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7AA3CE"/>
    <w:multiLevelType w:val="singleLevel"/>
    <w:tmpl w:val="B37AA3C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002D00"/>
    <w:rsid w:val="054B4772"/>
    <w:rsid w:val="0BE109C6"/>
    <w:rsid w:val="2E002D00"/>
    <w:rsid w:val="422C22E4"/>
    <w:rsid w:val="43D8318D"/>
    <w:rsid w:val="7D445C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2021-12-26T00:26:00Z</dcterms:created>
  <dc:creator>jy</dc:creator>
  <cp:lastModifiedBy>jy</cp:lastModifiedBy>
  <dcterms:modified xsi:type="dcterms:W3CDTF">2021-12-27T03:40:11Z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5B63E3B1B616442EBC704A25DAB1C3C3</vt:lpwstr>
  </property>
</Properties>
</file>