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shapetype id="_x0000_t202" o:spt="202" coordsize="21600,21600" path="m,l,21600r21600,l21600,xe">
            <v:stroke joinstyle="miter"/>
            <v:path gradientshapeok="t" o:connecttype="rect"/>
          </v:shapetype>
          <v:shape style="position:absolute;margin-left:287.519989pt;margin-top:795.156677pt;width:20pt;height:13.3pt;mso-position-horizontal-relative:page;mso-position-vertical-relative:page;z-index:-252882944" type="#_x0000_t202" filled="false" stroked="false">
            <v:textbox inset="0,0,0,0">
              <w:txbxContent>
                <w:p>
                  <w:pPr>
                    <w:pStyle w:val="BodyText"/>
                    <w:spacing w:line="266" w:lineRule="exact"/>
                    <w:rPr>
                      <w:rFonts w:ascii="Times New Roman"/>
                    </w:rPr>
                  </w:pPr>
                  <w:r>
                    <w:rPr>
                      <w:rFonts w:ascii="Times New Roman"/>
                    </w:rPr>
                    <w:t>- 1 -</w:t>
                  </w:r>
                </w:p>
              </w:txbxContent>
            </v:textbox>
            <w10:wrap type="none"/>
          </v:shape>
        </w:pict>
      </w:r>
      <w:r>
        <w:rPr/>
        <w:pict>
          <v:group style="position:absolute;margin-left:0pt;margin-top:.000024pt;width:595pt;height:841.9pt;mso-position-horizontal-relative:page;mso-position-vertical-relative:page;z-index:-252881920" coordorigin="0,0" coordsize="11900,16838">
            <v:shape style="position:absolute;left:0;top:0;width:11900;height:16838" type="#_x0000_t75" stroked="false">
              <v:imagedata r:id="rId5" o:title=""/>
            </v:shape>
            <v:shape style="position:absolute;left:1075;top:2336;width:9281;height:2417" coordorigin="1075,2336" coordsize="9281,2417" path="m10356,2819l3394,2819,3518,2819,3639,2818,3759,2816,3877,2814,3992,2811,4106,2808,4216,2804,4325,2799,4430,2794,4532,2788,4632,2782,4728,2776,4820,2768,4909,2761,4994,2753,5076,2744,5153,2735,5226,2726,5294,2717,5358,2707,5418,2696,5472,2686,5521,2675,5565,2663,5604,2652,5637,2640,5665,2628,5687,2616,5702,2603,5712,2591,5718,2565,5728,2552,5743,2540,5765,2527,5793,2515,5826,2504,5865,2492,5909,2481,5958,2470,6013,2459,6072,2449,6136,2439,6205,2429,6277,2420,6355,2411,6436,2403,6521,2395,6610,2387,6703,2380,6799,2373,6898,2367,7000,2361,7106,2356,7214,2352,7324,2348,7438,2344,7553,2341,7671,2339,7791,2337,7912,2336,8035,2336,8159,2336,8280,2337,8400,2339,8518,2341,8633,2344,8747,2348,8857,2352,8966,2356,9071,2361,9173,2367,9273,2373,9369,2380,9461,2387,9550,2395,9635,2403,9717,2411,9794,2420,9867,2429,9935,2439,9999,2449,10059,2459,10113,2470,10162,2481,10206,2492,10245,2504,10278,2515,10306,2527,10328,2540,10343,2552,10353,2565,10356,2578,10356,2819xm3394,4753l3271,4753,3150,4752,3030,4750,2912,4748,2797,4745,2683,4741,2572,4737,2257,4722,2062,4709,1880,4694,1714,4678,1637,4669,1564,4660,1495,4650,1431,4640,1372,4630,1318,4619,1268,4608,1224,4597,1186,4586,1152,4574,1125,4562,1103,4550,1088,4537,1078,4525,1075,4512,1075,2578,1078,2590,1088,2603,1103,2616,1125,2628,1153,2640,1186,2652,1224,2663,1269,2675,1318,2686,1372,2696,1431,2707,1495,2717,1564,2726,1637,2735,1714,2744,1795,2753,1880,2761,1969,2768,2062,2776,2158,2782,2257,2788,2359,2794,2465,2799,2573,2804,2683,2808,2797,2811,2912,2814,3030,2816,3150,2818,3271,2819,10356,2819,10356,4270,8035,4270,7912,4270,7791,4271,7671,4273,7553,4275,7438,4278,7324,4281,7213,4285,6898,4301,6702,4313,6521,4328,6355,4345,6277,4354,6204,4363,6136,4372,6072,4382,6013,4393,5958,4403,5909,4414,5865,4426,5826,4437,5793,4449,5765,4461,5743,4473,5728,4486,5718,4498,5712,4524,5702,4537,5687,4549,5665,4562,5637,4574,5604,4585,5565,4597,5521,4608,5472,4619,5417,4630,5358,4640,5294,4650,5226,4660,5153,4669,5075,4678,4909,4694,4728,4709,4532,4722,4216,4737,4105,4741,3992,4745,3877,4748,3759,4750,3639,4752,3518,4753,3394,4753xm10356,4512l10353,4499,10343,4486,10328,4474,10306,4462,10278,4449,10245,4438,10206,4426,10162,4415,10113,4404,10058,4393,9999,4383,9935,4373,9867,4363,9794,4354,9716,4345,9635,4336,9461,4321,9273,4307,9071,4295,8746,4281,8633,4278,8518,4275,8400,4273,8280,4271,8159,4270,8035,4270,10356,4270,10356,4512xe" filled="true" fillcolor="#ffffff" stroked="false">
              <v:path arrowok="t"/>
              <v:fill opacity="19005f" type="solid"/>
            </v:shape>
            <v:shape style="position:absolute;left:1054;top:2316;width:9322;height:2440" coordorigin="1054,2316" coordsize="9322,2440" path="m9042,2336l7028,2336,7131,2316,8940,2316,9042,2336xm9334,2356l6737,2356,6831,2336,9240,2336,9334,2356xm7030,2376l6473,2376,6558,2356,7133,2356,7030,2376xm9598,2376l9041,2376,8938,2356,9513,2356,9598,2376xm6739,2396l6279,2396,6316,2376,6834,2376,6739,2396xm9793,2396l9332,2396,9237,2376,9756,2376,9793,2396xm6477,2416l6140,2416,6173,2396,6561,2396,6477,2416xm9931,2416l9594,2416,9510,2396,9898,2396,9931,2416xm6283,2436l6019,2436,6048,2416,6320,2416,6283,2436xm10052,2436l9788,2436,9751,2416,10024,2416,10052,2436xm6146,2456l5916,2456,5940,2436,6179,2436,6146,2456xm10156,2456l9925,2456,9892,2436,10132,2436,10156,2456xm6026,2476l5831,2476,5851,2456,6054,2456,6026,2476xm10240,2476l10045,2476,10017,2456,10221,2456,10240,2476xm5924,2496l5780,2496,5796,2476,5948,2476,5924,2496xm10291,2496l10147,2496,10123,2476,10275,2476,10291,2496xm5843,2516l5742,2516,5754,2496,5861,2496,5843,2516xm10329,2516l10228,2516,10210,2496,10317,2496,10329,2516xm5782,2536l5714,2536,5720,2516,5796,2516,5782,2536xm10357,2536l10289,2536,10275,2516,10351,2516,10357,2536xm5752,2556l5700,2556,5700,2536,5762,2536,5752,2556xm10371,2556l10319,2556,10309,2536,10371,2536,10371,2556xm1094,4496l1054,4496,1054,2571,1054,2556,1093,2556,1094,2576,1057,2576,1059,2596,1071,2596,1073,2616,1090,2616,1094,2624,1094,4496xm5735,2576l5695,2576,5695,2556,5735,2556,5735,2576xm5735,2576l5735,2556,5735,2556,5735,2576xm5735,2576l5735,2556,5736,2556,5735,2576xm5735,2576l5736,2556,5736,2556,5735,2576xm10336,2576l10335,2556,10335,2556,10336,2576xm10336,2574l10335,2556,10336,2556,10336,2571,10336,2574xm10336,2571l10336,2556,10336,2556,10336,2571xm10336,2576l10336,2572,10336,2556,10336,2576xm10376,2576l10336,2576,10336,2556,10376,2556,10376,2576xm10336,2576l10336,2576,10336,2571,10336,2576xm10336,2576l10336,2576,10336,2574,10336,2576xm1094,2624l1090,2616,1073,2616,1071,2596,1059,2596,1057,2576,1094,2576,1094,2624xm1202,2636l1100,2636,1094,2624,1094,2576,1105,2576,1113,2596,1141,2596,1155,2616,1184,2616,1202,2636xm5730,2596l5676,2596,5684,2576,5732,2576,5730,2596xm10376,4496l10373,4496,10373,4476,10362,4476,10359,4456,10340,4456,10336,4448,10336,2576,10376,2576,10376,4496xm5716,2616l5634,2616,5648,2596,5718,2596,5716,2616xm5689,2636l5587,2636,5605,2616,5699,2616,5689,2636xm1284,2656l1139,2656,1126,2636,1261,2636,1284,2656xm5650,2656l5505,2656,5528,2636,5663,2636,5650,2656xm1385,2676l1209,2676,1190,2656,1358,2656,1385,2676xm5579,2676l5404,2676,5431,2656,5599,2656,5579,2676xm1505,2696l1274,2696,1251,2676,1473,2676,1505,2696xm5514,2696l5284,2696,5316,2676,5537,2676,5514,2696xm1642,2716l1378,2716,1350,2696,1606,2696,1642,2716xm5411,2716l5147,2716,5183,2696,5439,2696,5411,2716xm1836,2736l1499,2736,1467,2716,1756,2716,1836,2736xm5290,2736l4953,2736,5033,2716,5322,2716,5290,2736xm2099,2756l1675,2756,1637,2736,2008,2736,2099,2756xm5114,2756l4690,2756,4781,2736,5151,2736,5114,2756xm2492,2776l1832,2776,1751,2756,2389,2756,2492,2776xm4957,2776l4297,2776,4400,2756,5037,2756,4957,2776xm3041,2796l2096,2796,2005,2776,2927,2776,3041,2796xm4693,2796l3748,2796,3862,2776,4785,2776,4693,2796xm4299,2816l2490,2816,2388,2796,4402,2796,4299,2816xm3748,2836l3041,2836,2926,2816,3863,2816,3748,2836xm8616,4256l7455,4256,7567,4236,8504,4236,8616,4256xm9143,4276l6928,4276,7028,4256,9042,4256,9143,4276xm7456,4296l6645,4296,6737,4276,7568,4276,7456,4296xm9425,4296l8615,4296,8503,4276,9334,4276,9425,4296xm6930,4316l6393,4316,6473,4296,7031,4296,6930,4316xm9679,4316l9141,4316,9040,4296,9598,4296,9679,4316xm6649,4336l6242,4336,6279,4316,6740,4316,6649,4336xm9829,4336l9422,4336,9331,4316,9793,4316,9829,4336xm6397,4356l6108,4356,6140,4336,6477,4336,6397,4356xm9963,4356l9674,4356,9594,4336,9931,4336,9963,4356xm6247,4376l5991,4376,6019,4356,6283,4356,6247,4376xm10080,4376l9824,4376,9788,4356,10052,4356,10080,4376xm6084,4396l5893,4396,5916,4376,6114,4376,6084,4396xm10179,4396l9987,4396,9957,4376,10156,4376,10179,4396xm5973,4416l5813,4416,5831,4396,5999,4396,5973,4416xm10258,4416l10098,4416,10072,4396,10240,4396,10258,4416xm5902,4436l5767,4436,5780,4416,5925,4416,5902,4436xm10304,4436l10169,4436,10146,4416,10291,4416,10304,4436xm5825,4456l5731,4456,5741,4436,5843,4436,5825,4456xm10336,4496l10331,4496,10324,4476,10300,4476,10288,4456,10246,4456,10228,4436,10330,4436,10336,4448,10336,4496xm10373,4496l10336,4496,10336,4448,10340,4456,10359,4456,10362,4476,10373,4476,10373,4496xm5771,4476l5709,4476,5712,4456,5783,4456,5771,4476xm5740,4496l5698,4496,5698,4476,5747,4476,5740,4496xm5746,4496l5747,4476,5754,4476,5746,4496xm10325,4496l10317,4476,10324,4476,10325,4496xm1096,4516l1055,4516,1054,4496,1095,4496,1096,4516xm1097,4516l1096,4516,1095,4496,1097,4516xm5693,4516l5692,4516,5694,4496,5693,4516xm5734,4516l5693,4516,5694,4496,5735,4496,5734,4516xm10374,4516l10337,4516,10336,4496,10376,4496,10374,4516xm1121,4536l1061,4536,1059,4516,1111,4516,1121,4536xm5728,4536l5668,4536,5678,4516,5730,4516,5728,4536xm1169,4556l1079,4556,1073,4536,1154,4536,1169,4556xm5710,4556l5620,4556,5635,4536,5716,4536,5710,4556xm1240,4576l1113,4576,1101,4556,1220,4556,1240,4576xm5676,4576l5549,4576,5569,4556,5688,4556,5676,4576xm1307,4596l1155,4596,1139,4576,1283,4576,1307,4596xm5634,4596l5482,4596,5506,4576,5650,4576,5634,4596xm1413,4616l1230,4616,1209,4596,1385,4596,1413,4616xm5559,4616l5376,4616,5404,4596,5579,4596,5559,4616xm1538,4636l1324,4636,1298,4616,1505,4616,1538,4636xm5465,4636l5251,4636,5284,4616,5490,4616,5465,4636xm1756,4656l1406,4656,1378,4636,1679,4636,1756,4656xm5382,4656l5033,4656,5110,4636,5411,4636,5382,4656xm1920,4676l1566,4676,1532,4656,1836,4656,1920,4676xm5223,4676l4869,4676,4953,4656,5257,4656,5223,4676xm2193,4696l1751,4696,1675,4676,2098,4676,2193,4696xm5037,4696l4596,4696,4691,4676,5114,4676,5037,4696xm2597,4716l1917,4716,1832,4696,2492,4696,2597,4716xm4872,4716l4192,4716,4297,4696,4957,4696,4872,4716xm4599,4736l2190,4736,2096,4716,4693,4716,4599,4736xm4193,4756l2596,4756,2490,4736,4299,4736,4193,4756xe" filled="true" fillcolor="#10233e" stroked="false">
              <v:path arrowok="t"/>
              <v:fill type="solid"/>
            </v:shape>
            <v:shape style="position:absolute;left:1633;top:13555;width:9434;height:1384" type="#_x0000_t75" stroked="false">
              <v:imagedata r:id="rId6" o:title=""/>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sz w:val="17"/>
        </w:rPr>
      </w:pPr>
    </w:p>
    <w:p>
      <w:pPr>
        <w:tabs>
          <w:tab w:pos="5460" w:val="left" w:leader="none"/>
        </w:tabs>
        <w:spacing w:line="1429" w:lineRule="exact" w:before="0"/>
        <w:ind w:left="1100" w:right="0" w:firstLine="0"/>
        <w:jc w:val="left"/>
        <w:rPr>
          <w:rFonts w:ascii="微软雅黑" w:eastAsia="微软雅黑" w:hint="eastAsia"/>
          <w:b/>
          <w:sz w:val="84"/>
        </w:rPr>
      </w:pPr>
      <w:r>
        <w:rPr>
          <w:rFonts w:ascii="微软雅黑" w:eastAsia="微软雅黑" w:hint="eastAsia"/>
          <w:b/>
          <w:color w:val="FF0000"/>
          <w:sz w:val="84"/>
        </w:rPr>
        <w:t>繁花五月</w:t>
        <w:tab/>
        <w:t>只争朝夕</w:t>
      </w: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spacing w:before="9"/>
        <w:rPr>
          <w:rFonts w:ascii="微软雅黑"/>
          <w:b/>
          <w:sz w:val="26"/>
        </w:rPr>
      </w:pPr>
    </w:p>
    <w:p>
      <w:pPr>
        <w:spacing w:line="1200" w:lineRule="exact" w:before="0"/>
        <w:ind w:left="653" w:right="0" w:firstLine="0"/>
        <w:jc w:val="left"/>
        <w:rPr>
          <w:rFonts w:ascii="微软雅黑" w:eastAsia="微软雅黑" w:hint="eastAsia"/>
          <w:b/>
          <w:sz w:val="72"/>
        </w:rPr>
      </w:pPr>
      <w:r>
        <w:rPr>
          <w:rFonts w:ascii="微软雅黑" w:eastAsia="微软雅黑" w:hint="eastAsia"/>
          <w:b/>
          <w:color w:val="050505"/>
          <w:sz w:val="72"/>
        </w:rPr>
        <w:t>廖洪森名师工作室活动简报</w:t>
      </w:r>
    </w:p>
    <w:p>
      <w:pPr>
        <w:spacing w:line="919" w:lineRule="exact" w:before="0"/>
        <w:ind w:left="588" w:right="0" w:firstLine="0"/>
        <w:jc w:val="center"/>
        <w:rPr>
          <w:rFonts w:ascii="微软雅黑" w:eastAsia="微软雅黑" w:hint="eastAsia"/>
          <w:b/>
          <w:sz w:val="52"/>
        </w:rPr>
      </w:pPr>
      <w:r>
        <w:rPr>
          <w:rFonts w:ascii="微软雅黑" w:eastAsia="微软雅黑" w:hint="eastAsia"/>
          <w:b/>
          <w:color w:val="050505"/>
          <w:sz w:val="52"/>
        </w:rPr>
        <w:t>（2020 年 5 月）</w:t>
      </w:r>
    </w:p>
    <w:p>
      <w:pPr>
        <w:spacing w:after="0" w:line="919" w:lineRule="exact"/>
        <w:jc w:val="center"/>
        <w:rPr>
          <w:rFonts w:ascii="微软雅黑" w:eastAsia="微软雅黑" w:hint="eastAsia"/>
          <w:sz w:val="52"/>
        </w:rPr>
        <w:sectPr>
          <w:type w:val="continuous"/>
          <w:pgSz w:w="11900" w:h="16840"/>
          <w:pgMar w:top="1580" w:bottom="280" w:left="700" w:right="1200"/>
        </w:sectPr>
      </w:pPr>
    </w:p>
    <w:p>
      <w:pPr>
        <w:pStyle w:val="BodyText"/>
        <w:rPr>
          <w:rFonts w:ascii="微软雅黑"/>
          <w:b/>
          <w:sz w:val="20"/>
        </w:rPr>
      </w:pPr>
    </w:p>
    <w:p>
      <w:pPr>
        <w:pStyle w:val="BodyText"/>
        <w:spacing w:before="3"/>
        <w:rPr>
          <w:rFonts w:ascii="微软雅黑"/>
          <w:b/>
          <w:sz w:val="21"/>
        </w:rPr>
      </w:pPr>
    </w:p>
    <w:p>
      <w:pPr>
        <w:tabs>
          <w:tab w:pos="2824" w:val="left" w:leader="none"/>
        </w:tabs>
        <w:spacing w:line="924" w:lineRule="exact" w:before="0"/>
        <w:ind w:left="124" w:right="0" w:firstLine="0"/>
        <w:jc w:val="center"/>
        <w:rPr>
          <w:rFonts w:ascii="微软雅黑" w:eastAsia="微软雅黑" w:hint="eastAsia"/>
          <w:b/>
          <w:sz w:val="52"/>
        </w:rPr>
      </w:pPr>
      <w:r>
        <w:rPr/>
        <w:drawing>
          <wp:anchor distT="0" distB="0" distL="0" distR="0" allowOverlap="1" layoutInCell="1" locked="0" behindDoc="0" simplePos="0" relativeHeight="251660288">
            <wp:simplePos x="0" y="0"/>
            <wp:positionH relativeFrom="page">
              <wp:posOffset>1027175</wp:posOffset>
            </wp:positionH>
            <wp:positionV relativeFrom="paragraph">
              <wp:posOffset>-437348</wp:posOffset>
            </wp:positionV>
            <wp:extent cx="701039" cy="524255"/>
            <wp:effectExtent l="0" t="0" r="0" b="0"/>
            <wp:wrapNone/>
            <wp:docPr id="1" name="image3.jpeg"/>
            <wp:cNvGraphicFramePr>
              <a:graphicFrameLocks noChangeAspect="1"/>
            </wp:cNvGraphicFramePr>
            <a:graphic>
              <a:graphicData uri="http://schemas.openxmlformats.org/drawingml/2006/picture">
                <pic:pic>
                  <pic:nvPicPr>
                    <pic:cNvPr id="2" name="image3.jpeg"/>
                    <pic:cNvPicPr/>
                  </pic:nvPicPr>
                  <pic:blipFill>
                    <a:blip r:embed="rId7" cstate="print"/>
                    <a:stretch>
                      <a:fillRect/>
                    </a:stretch>
                  </pic:blipFill>
                  <pic:spPr>
                    <a:xfrm>
                      <a:off x="0" y="0"/>
                      <a:ext cx="701039" cy="524255"/>
                    </a:xfrm>
                    <a:prstGeom prst="rect">
                      <a:avLst/>
                    </a:prstGeom>
                  </pic:spPr>
                </pic:pic>
              </a:graphicData>
            </a:graphic>
          </wp:anchor>
        </w:drawing>
      </w:r>
      <w:r>
        <w:rPr>
          <w:rFonts w:ascii="微软雅黑" w:eastAsia="微软雅黑" w:hint="eastAsia"/>
          <w:b/>
          <w:color w:val="FF0000"/>
          <w:sz w:val="52"/>
        </w:rPr>
        <w:t>繁</w:t>
      </w:r>
      <w:r>
        <w:rPr>
          <w:rFonts w:ascii="微软雅黑" w:eastAsia="微软雅黑" w:hint="eastAsia"/>
          <w:b/>
          <w:color w:val="FF0000"/>
          <w:spacing w:val="-3"/>
          <w:sz w:val="52"/>
        </w:rPr>
        <w:t>花</w:t>
      </w:r>
      <w:r>
        <w:rPr>
          <w:rFonts w:ascii="微软雅黑" w:eastAsia="微软雅黑" w:hint="eastAsia"/>
          <w:b/>
          <w:color w:val="FF0000"/>
          <w:sz w:val="52"/>
        </w:rPr>
        <w:t>五月</w:t>
        <w:tab/>
        <w:t>只</w:t>
      </w:r>
      <w:r>
        <w:rPr>
          <w:rFonts w:ascii="微软雅黑" w:eastAsia="微软雅黑" w:hint="eastAsia"/>
          <w:b/>
          <w:color w:val="FF0000"/>
          <w:spacing w:val="-3"/>
          <w:sz w:val="52"/>
        </w:rPr>
        <w:t>争</w:t>
      </w:r>
      <w:r>
        <w:rPr>
          <w:rFonts w:ascii="微软雅黑" w:eastAsia="微软雅黑" w:hint="eastAsia"/>
          <w:b/>
          <w:color w:val="FF0000"/>
          <w:sz w:val="52"/>
        </w:rPr>
        <w:t>朝夕</w:t>
      </w:r>
    </w:p>
    <w:p>
      <w:pPr>
        <w:spacing w:before="332"/>
        <w:ind w:left="520" w:right="0" w:firstLine="0"/>
        <w:jc w:val="center"/>
        <w:rPr>
          <w:rFonts w:ascii="黑体" w:hAnsi="黑体" w:eastAsia="黑体" w:hint="eastAsia"/>
          <w:sz w:val="32"/>
        </w:rPr>
      </w:pPr>
      <w:r>
        <w:rPr>
          <w:rFonts w:ascii="黑体" w:hAnsi="黑体" w:eastAsia="黑体" w:hint="eastAsia"/>
          <w:sz w:val="32"/>
        </w:rPr>
        <w:t>——廖洪森名师工作室活动简报</w:t>
      </w:r>
    </w:p>
    <w:p>
      <w:pPr>
        <w:pStyle w:val="BodyText"/>
        <w:spacing w:before="10"/>
        <w:rPr>
          <w:rFonts w:ascii="黑体"/>
          <w:sz w:val="32"/>
        </w:rPr>
      </w:pPr>
    </w:p>
    <w:p>
      <w:pPr>
        <w:spacing w:before="0"/>
        <w:ind w:left="866" w:right="984" w:firstLine="0"/>
        <w:jc w:val="center"/>
        <w:rPr>
          <w:rFonts w:ascii="黑体" w:eastAsia="黑体" w:hint="eastAsia"/>
          <w:sz w:val="32"/>
        </w:rPr>
      </w:pPr>
      <w:r>
        <w:rPr>
          <w:rFonts w:ascii="黑体" w:eastAsia="黑体" w:hint="eastAsia"/>
          <w:sz w:val="32"/>
        </w:rPr>
        <w:t>（2020 年 5 月）</w:t>
      </w:r>
    </w:p>
    <w:p>
      <w:pPr>
        <w:pStyle w:val="BodyText"/>
        <w:spacing w:before="7"/>
        <w:rPr>
          <w:rFonts w:ascii="黑体"/>
          <w:sz w:val="28"/>
        </w:rPr>
      </w:pPr>
    </w:p>
    <w:p>
      <w:pPr>
        <w:spacing w:before="55"/>
        <w:ind w:left="1100" w:right="0" w:firstLine="0"/>
        <w:jc w:val="left"/>
        <w:rPr>
          <w:rFonts w:ascii="黑体" w:eastAsia="黑体" w:hint="eastAsia"/>
          <w:sz w:val="32"/>
        </w:rPr>
      </w:pPr>
      <w:r>
        <w:rPr>
          <w:rFonts w:ascii="黑体" w:eastAsia="黑体" w:hint="eastAsia"/>
          <w:sz w:val="32"/>
        </w:rPr>
        <w:t>主管：双流区教育局</w:t>
      </w:r>
    </w:p>
    <w:p>
      <w:pPr>
        <w:pStyle w:val="BodyText"/>
        <w:spacing w:before="10"/>
        <w:rPr>
          <w:rFonts w:ascii="黑体"/>
          <w:sz w:val="32"/>
        </w:rPr>
      </w:pPr>
    </w:p>
    <w:p>
      <w:pPr>
        <w:spacing w:line="487" w:lineRule="auto" w:before="0"/>
        <w:ind w:left="1100" w:right="899" w:firstLine="960"/>
        <w:jc w:val="left"/>
        <w:rPr>
          <w:rFonts w:ascii="黑体" w:eastAsia="黑体" w:hint="eastAsia"/>
          <w:sz w:val="32"/>
        </w:rPr>
      </w:pPr>
      <w:r>
        <w:rPr>
          <w:rFonts w:ascii="黑体" w:eastAsia="黑体" w:hint="eastAsia"/>
          <w:sz w:val="32"/>
        </w:rPr>
        <w:t>双流区教育研究与教师培训中心名师工作室管理办主办：廖洪森名师工作室</w:t>
      </w:r>
    </w:p>
    <w:p>
      <w:pPr>
        <w:spacing w:line="404" w:lineRule="exact" w:before="0"/>
        <w:ind w:left="1100" w:right="0" w:firstLine="0"/>
        <w:jc w:val="left"/>
        <w:rPr>
          <w:rFonts w:ascii="黑体" w:eastAsia="黑体" w:hint="eastAsia"/>
          <w:sz w:val="32"/>
        </w:rPr>
      </w:pPr>
      <w:r>
        <w:rPr>
          <w:rFonts w:ascii="黑体" w:eastAsia="黑体" w:hint="eastAsia"/>
          <w:sz w:val="32"/>
        </w:rPr>
        <w:t>主编：廖洪森</w:t>
      </w:r>
    </w:p>
    <w:p>
      <w:pPr>
        <w:pStyle w:val="BodyText"/>
        <w:spacing w:before="10"/>
        <w:rPr>
          <w:rFonts w:ascii="黑体"/>
          <w:sz w:val="32"/>
        </w:rPr>
      </w:pPr>
    </w:p>
    <w:p>
      <w:pPr>
        <w:spacing w:line="487" w:lineRule="auto" w:before="0"/>
        <w:ind w:left="1100" w:right="5377" w:firstLine="0"/>
        <w:jc w:val="both"/>
        <w:rPr>
          <w:rFonts w:ascii="黑体" w:eastAsia="黑体" w:hint="eastAsia"/>
          <w:sz w:val="32"/>
        </w:rPr>
      </w:pPr>
      <w:r>
        <w:rPr>
          <w:rFonts w:ascii="黑体" w:eastAsia="黑体" w:hint="eastAsia"/>
          <w:sz w:val="32"/>
        </w:rPr>
        <w:t>副主编：文 蕈 刘长乐编委：（按姓氏笔画）</w:t>
      </w:r>
    </w:p>
    <w:p>
      <w:pPr>
        <w:spacing w:line="487" w:lineRule="auto" w:before="0"/>
        <w:ind w:left="2060" w:right="2658" w:firstLine="0"/>
        <w:jc w:val="both"/>
        <w:rPr>
          <w:rFonts w:ascii="黑体" w:eastAsia="黑体" w:hint="eastAsia"/>
          <w:sz w:val="32"/>
        </w:rPr>
      </w:pPr>
      <w:r>
        <w:rPr>
          <w:rFonts w:ascii="黑体" w:eastAsia="黑体" w:hint="eastAsia"/>
          <w:sz w:val="32"/>
        </w:rPr>
        <w:t>廖洪森  唐晓华  付 攀  肖  靖吉  白  辛  锐   刘 长 乐 游  燕文 蕈 古 玲 刁 婵 娟</w:t>
      </w:r>
    </w:p>
    <w:p>
      <w:pPr>
        <w:spacing w:line="487" w:lineRule="auto" w:before="0"/>
        <w:ind w:left="1100" w:right="3777" w:firstLine="0"/>
        <w:jc w:val="both"/>
        <w:rPr>
          <w:rFonts w:ascii="黑体" w:eastAsia="黑体" w:hint="eastAsia"/>
          <w:sz w:val="32"/>
        </w:rPr>
      </w:pPr>
      <w:r>
        <w:rPr>
          <w:rFonts w:ascii="黑体" w:eastAsia="黑体" w:hint="eastAsia"/>
          <w:w w:val="95"/>
          <w:sz w:val="32"/>
        </w:rPr>
        <w:t>投稿信箱：</w:t>
      </w:r>
      <w:hyperlink r:id="rId8">
        <w:r>
          <w:rPr>
            <w:rFonts w:ascii="黑体" w:eastAsia="黑体" w:hint="eastAsia"/>
            <w:w w:val="95"/>
            <w:sz w:val="32"/>
          </w:rPr>
          <w:t>liaohongsengzs@163.com </w:t>
        </w:r>
      </w:hyperlink>
      <w:r>
        <w:rPr>
          <w:rFonts w:ascii="黑体" w:eastAsia="黑体" w:hint="eastAsia"/>
          <w:sz w:val="32"/>
        </w:rPr>
        <w:t>工作室QQ 交流群： 280767145</w:t>
      </w: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spacing w:before="1"/>
        <w:rPr>
          <w:rFonts w:ascii="黑体"/>
          <w:sz w:val="28"/>
        </w:rPr>
      </w:pPr>
    </w:p>
    <w:p>
      <w:pPr>
        <w:pStyle w:val="BodyText"/>
        <w:spacing w:before="90"/>
        <w:ind w:left="499"/>
        <w:jc w:val="center"/>
        <w:rPr>
          <w:rFonts w:ascii="Times New Roman"/>
        </w:rPr>
      </w:pPr>
      <w:r>
        <w:rPr>
          <w:rFonts w:ascii="Times New Roman"/>
        </w:rPr>
        <w:t>- 2 -</w:t>
      </w:r>
    </w:p>
    <w:p>
      <w:pPr>
        <w:spacing w:after="0"/>
        <w:jc w:val="center"/>
        <w:rPr>
          <w:rFonts w:ascii="Times New Roman"/>
        </w:rPr>
        <w:sectPr>
          <w:pgSz w:w="11900" w:h="16840"/>
          <w:pgMar w:top="1580" w:bottom="280" w:left="700" w:right="1200"/>
        </w:sectPr>
      </w:pPr>
    </w:p>
    <w:p>
      <w:pPr>
        <w:pStyle w:val="BodyText"/>
        <w:spacing w:before="7"/>
        <w:rPr>
          <w:rFonts w:ascii="Times New Roman"/>
          <w:sz w:val="17"/>
        </w:rPr>
      </w:pPr>
    </w:p>
    <w:p>
      <w:pPr>
        <w:spacing w:line="1386" w:lineRule="exact" w:before="0"/>
        <w:ind w:left="866" w:right="1033" w:firstLine="0"/>
        <w:jc w:val="center"/>
        <w:rPr>
          <w:rFonts w:ascii="微软雅黑" w:eastAsia="微软雅黑" w:hint="eastAsia"/>
          <w:b/>
          <w:sz w:val="84"/>
        </w:rPr>
      </w:pPr>
      <w:r>
        <w:rPr>
          <w:rFonts w:ascii="微软雅黑" w:eastAsia="微软雅黑" w:hint="eastAsia"/>
          <w:b/>
          <w:sz w:val="84"/>
        </w:rPr>
        <w:t>目录</w:t>
      </w:r>
    </w:p>
    <w:p>
      <w:pPr>
        <w:spacing w:line="952" w:lineRule="exact" w:before="0"/>
        <w:ind w:left="866" w:right="1000" w:firstLine="0"/>
        <w:jc w:val="center"/>
        <w:rPr>
          <w:rFonts w:ascii="微软雅黑"/>
          <w:b/>
          <w:sz w:val="54"/>
        </w:rPr>
      </w:pPr>
      <w:r>
        <w:rPr>
          <w:rFonts w:ascii="微软雅黑"/>
          <w:b/>
          <w:sz w:val="54"/>
        </w:rPr>
        <w:t>CONTENTS</w:t>
      </w:r>
    </w:p>
    <w:p>
      <w:pPr>
        <w:tabs>
          <w:tab w:pos="8667" w:val="right" w:leader="dot"/>
        </w:tabs>
        <w:spacing w:before="593"/>
        <w:ind w:left="716" w:right="0" w:firstLine="0"/>
        <w:jc w:val="left"/>
        <w:rPr>
          <w:rFonts w:ascii="黑体" w:eastAsia="黑体" w:hint="eastAsia"/>
          <w:b/>
          <w:sz w:val="48"/>
        </w:rPr>
      </w:pPr>
      <w:r>
        <w:rPr>
          <w:rFonts w:ascii="黑体" w:eastAsia="黑体" w:hint="eastAsia"/>
          <w:b/>
          <w:sz w:val="48"/>
        </w:rPr>
        <w:t>工作掠影</w:t>
        <w:tab/>
        <w:t>4</w:t>
      </w:r>
    </w:p>
    <w:p>
      <w:pPr>
        <w:tabs>
          <w:tab w:pos="8909" w:val="right" w:leader="dot"/>
        </w:tabs>
        <w:spacing w:before="623"/>
        <w:ind w:left="716" w:right="0" w:firstLine="0"/>
        <w:jc w:val="left"/>
        <w:rPr>
          <w:rFonts w:ascii="黑体" w:eastAsia="黑体" w:hint="eastAsia"/>
          <w:b/>
          <w:sz w:val="48"/>
        </w:rPr>
      </w:pPr>
      <w:r>
        <w:rPr>
          <w:rFonts w:ascii="黑体" w:eastAsia="黑体" w:hint="eastAsia"/>
          <w:b/>
          <w:sz w:val="48"/>
        </w:rPr>
        <w:t>课例研究</w:t>
        <w:tab/>
        <w:t>13</w:t>
      </w:r>
    </w:p>
    <w:p>
      <w:pPr>
        <w:tabs>
          <w:tab w:pos="8909" w:val="right" w:leader="dot"/>
        </w:tabs>
        <w:spacing w:before="626"/>
        <w:ind w:left="716" w:right="0" w:firstLine="0"/>
        <w:jc w:val="left"/>
        <w:rPr>
          <w:rFonts w:ascii="黑体" w:eastAsia="黑体" w:hint="eastAsia"/>
          <w:b/>
          <w:sz w:val="48"/>
        </w:rPr>
      </w:pPr>
      <w:r>
        <w:rPr>
          <w:rFonts w:ascii="黑体" w:eastAsia="黑体" w:hint="eastAsia"/>
          <w:b/>
          <w:sz w:val="48"/>
        </w:rPr>
        <w:t>专题讲座</w:t>
        <w:tab/>
        <w:t>18</w:t>
      </w:r>
    </w:p>
    <w:p>
      <w:pPr>
        <w:tabs>
          <w:tab w:pos="8909" w:val="right" w:leader="dot"/>
        </w:tabs>
        <w:spacing w:before="624"/>
        <w:ind w:left="716" w:right="0" w:firstLine="0"/>
        <w:jc w:val="left"/>
        <w:rPr>
          <w:rFonts w:ascii="黑体" w:eastAsia="黑体" w:hint="eastAsia"/>
          <w:b/>
          <w:sz w:val="48"/>
        </w:rPr>
      </w:pPr>
      <w:r>
        <w:rPr>
          <w:rFonts w:ascii="黑体" w:eastAsia="黑体" w:hint="eastAsia"/>
          <w:b/>
          <w:sz w:val="48"/>
        </w:rPr>
        <w:t>时政聚焦</w:t>
        <w:tab/>
        <w:t>20</w:t>
      </w:r>
    </w:p>
    <w:p>
      <w:pPr>
        <w:tabs>
          <w:tab w:pos="8909" w:val="right" w:leader="dot"/>
        </w:tabs>
        <w:spacing w:before="625"/>
        <w:ind w:left="716" w:right="0" w:firstLine="0"/>
        <w:jc w:val="left"/>
        <w:rPr>
          <w:rFonts w:ascii="黑体" w:eastAsia="黑体" w:hint="eastAsia"/>
          <w:b/>
          <w:sz w:val="48"/>
        </w:rPr>
      </w:pPr>
      <w:r>
        <w:rPr>
          <w:rFonts w:ascii="黑体" w:eastAsia="黑体" w:hint="eastAsia"/>
          <w:b/>
          <w:sz w:val="48"/>
        </w:rPr>
        <w:t>导师推荐</w:t>
        <w:tab/>
        <w:t>32</w:t>
      </w:r>
    </w:p>
    <w:p>
      <w:pPr>
        <w:tabs>
          <w:tab w:pos="8909" w:val="right" w:leader="dot"/>
        </w:tabs>
        <w:spacing w:before="626"/>
        <w:ind w:left="716" w:right="0" w:firstLine="0"/>
        <w:jc w:val="left"/>
        <w:rPr>
          <w:rFonts w:ascii="黑体" w:eastAsia="黑体" w:hint="eastAsia"/>
          <w:b/>
          <w:sz w:val="48"/>
        </w:rPr>
      </w:pPr>
      <w:r>
        <w:rPr>
          <w:rFonts w:ascii="黑体" w:eastAsia="黑体" w:hint="eastAsia"/>
          <w:b/>
          <w:sz w:val="48"/>
        </w:rPr>
        <w:t>书香致远</w:t>
        <w:tab/>
        <w:t>42</w:t>
      </w:r>
    </w:p>
    <w:p>
      <w:pPr>
        <w:tabs>
          <w:tab w:pos="8909" w:val="right" w:leader="dot"/>
        </w:tabs>
        <w:spacing w:before="624"/>
        <w:ind w:left="716" w:right="0" w:firstLine="0"/>
        <w:jc w:val="left"/>
        <w:rPr>
          <w:rFonts w:ascii="黑体" w:eastAsia="黑体" w:hint="eastAsia"/>
          <w:b/>
          <w:sz w:val="48"/>
        </w:rPr>
      </w:pPr>
      <w:r>
        <w:rPr>
          <w:rFonts w:ascii="黑体" w:eastAsia="黑体" w:hint="eastAsia"/>
          <w:b/>
          <w:sz w:val="48"/>
        </w:rPr>
        <w:t>学科前沿</w:t>
        <w:tab/>
        <w:t>44</w:t>
      </w:r>
    </w:p>
    <w:p>
      <w:pPr>
        <w:spacing w:after="0"/>
        <w:jc w:val="left"/>
        <w:rPr>
          <w:rFonts w:ascii="黑体" w:eastAsia="黑体" w:hint="eastAsia"/>
          <w:sz w:val="48"/>
        </w:rPr>
        <w:sectPr>
          <w:footerReference w:type="default" r:id="rId9"/>
          <w:pgSz w:w="11900" w:h="16840"/>
          <w:pgMar w:footer="735" w:header="0" w:top="1580" w:bottom="920" w:left="700" w:right="1200"/>
          <w:pgNumType w:start="3"/>
        </w:sectPr>
      </w:pPr>
    </w:p>
    <w:p>
      <w:pPr>
        <w:pStyle w:val="BodyText"/>
        <w:spacing w:before="4" w:after="1"/>
        <w:rPr>
          <w:rFonts w:ascii="黑体"/>
          <w:b/>
          <w:sz w:val="21"/>
        </w:rPr>
      </w:pPr>
    </w:p>
    <w:p>
      <w:pPr>
        <w:pStyle w:val="BodyText"/>
        <w:ind w:left="111"/>
        <w:rPr>
          <w:rFonts w:ascii="黑体"/>
          <w:sz w:val="20"/>
        </w:rPr>
      </w:pPr>
      <w:r>
        <w:rPr>
          <w:rFonts w:ascii="黑体"/>
          <w:sz w:val="20"/>
        </w:rPr>
        <w:pict>
          <v:group style="width:152.15pt;height:65.2pt;mso-position-horizontal-relative:char;mso-position-vertical-relative:line" coordorigin="0,0" coordsize="3043,1304">
            <v:shape style="position:absolute;left:0;top:0;width:3043;height:1304" type="#_x0000_t75" stroked="false">
              <v:imagedata r:id="rId10" o:title=""/>
            </v:shape>
            <v:shape style="position:absolute;left:0;top:0;width:3043;height:1304" type="#_x0000_t202" filled="false" stroked="false">
              <v:textbox inset="0,0,0,0">
                <w:txbxContent>
                  <w:p>
                    <w:pPr>
                      <w:spacing w:before="370"/>
                      <w:ind w:left="604" w:right="0" w:firstLine="0"/>
                      <w:jc w:val="left"/>
                      <w:rPr>
                        <w:rFonts w:ascii="黑体" w:eastAsia="黑体" w:hint="eastAsia"/>
                        <w:b/>
                        <w:sz w:val="44"/>
                      </w:rPr>
                    </w:pPr>
                    <w:r>
                      <w:rPr>
                        <w:rFonts w:ascii="黑体" w:eastAsia="黑体" w:hint="eastAsia"/>
                        <w:b/>
                        <w:sz w:val="44"/>
                      </w:rPr>
                      <w:t>工作掠影</w:t>
                    </w:r>
                  </w:p>
                </w:txbxContent>
              </v:textbox>
              <w10:wrap type="none"/>
            </v:shape>
          </v:group>
        </w:pict>
      </w:r>
      <w:r>
        <w:rPr>
          <w:rFonts w:ascii="黑体"/>
          <w:sz w:val="20"/>
        </w:rPr>
      </w:r>
    </w:p>
    <w:p>
      <w:pPr>
        <w:pStyle w:val="Heading1"/>
        <w:tabs>
          <w:tab w:pos="5405" w:val="left" w:leader="none"/>
        </w:tabs>
        <w:spacing w:before="307"/>
        <w:ind w:left="2876"/>
        <w:jc w:val="left"/>
      </w:pPr>
      <w:r>
        <w:rPr>
          <w:color w:val="090909"/>
        </w:rPr>
        <w:t>提升教研品质</w:t>
        <w:tab/>
        <w:t>促进高质量发展</w:t>
      </w:r>
    </w:p>
    <w:p>
      <w:pPr>
        <w:pStyle w:val="BodyText"/>
        <w:spacing w:line="362" w:lineRule="auto" w:before="306"/>
        <w:ind w:left="716" w:right="248" w:firstLine="480"/>
        <w:jc w:val="both"/>
      </w:pPr>
      <w:bookmarkStart w:name="五月榴花照眼明，枝间时见子初成。5月15日，廖洪森工作室全体学员参加了艺体中学学" w:id="1"/>
      <w:bookmarkEnd w:id="1"/>
      <w:r>
        <w:rPr/>
      </w:r>
      <w:r>
        <w:rPr>
          <w:color w:val="333333"/>
        </w:rPr>
        <w:t>五月榴花照眼明，枝间时见子初成。5</w:t>
      </w:r>
      <w:r>
        <w:rPr>
          <w:color w:val="333333"/>
          <w:spacing w:val="-28"/>
        </w:rPr>
        <w:t> 月 </w:t>
      </w:r>
      <w:r>
        <w:rPr>
          <w:color w:val="333333"/>
        </w:rPr>
        <w:t>15</w:t>
      </w:r>
      <w:r>
        <w:rPr>
          <w:color w:val="333333"/>
          <w:spacing w:val="-6"/>
        </w:rPr>
        <w:t> 日，廖洪森工作室全体学员参加了艺体中学学科组教研组高质量发展大会。</w:t>
      </w:r>
    </w:p>
    <w:p>
      <w:pPr>
        <w:pStyle w:val="BodyText"/>
        <w:spacing w:line="364" w:lineRule="auto" w:before="5"/>
        <w:ind w:left="716" w:right="248" w:firstLine="480"/>
        <w:jc w:val="both"/>
      </w:pPr>
      <w:bookmarkStart w:name="会议第一项议程是艺体中学优秀学科组、教研组分享经验，音乐班班主任教研组长艾庆，英" w:id="2"/>
      <w:bookmarkEnd w:id="2"/>
      <w:r>
        <w:rPr/>
      </w:r>
      <w:r>
        <w:rPr>
          <w:color w:val="333333"/>
        </w:rPr>
        <w:t>会议第一项议程是艺体中学优秀学科组、教研组分享经验，音乐班班主任教研组长艾庆，英语学科主任陈根菊、高 2021 届语文组教研组长周一、音乐学科主任何建军、美术学科主任王秀兰分别从治班策略、优势学科日常研修、学科崛起及学生差异培养等方面介绍了校本教研宝贵的探索经验，立体展示了艺体中学“美韵教育”思想内涵。</w:t>
      </w:r>
    </w:p>
    <w:p>
      <w:pPr>
        <w:pStyle w:val="BodyText"/>
        <w:spacing w:line="364" w:lineRule="auto"/>
        <w:ind w:left="716" w:right="250" w:firstLine="480"/>
      </w:pPr>
      <w:bookmarkStart w:name="德，从心也，艾庆老师展现了艺体中学班主任教研团队正心诚意的育人目标，和春风化雨的" w:id="3"/>
      <w:bookmarkEnd w:id="3"/>
      <w:r>
        <w:rPr/>
      </w:r>
      <w:r>
        <w:rPr>
          <w:color w:val="333333"/>
        </w:rPr>
        <w:t>德，从心也，艾庆老师展现了艺体中学班主任教研团队正心诚意的育人目标，和春风化雨的教育情怀。</w:t>
      </w:r>
    </w:p>
    <w:p>
      <w:pPr>
        <w:pStyle w:val="BodyText"/>
        <w:ind w:left="1822"/>
        <w:rPr>
          <w:sz w:val="20"/>
        </w:rPr>
      </w:pPr>
      <w:r>
        <w:rPr>
          <w:sz w:val="20"/>
        </w:rPr>
        <w:drawing>
          <wp:inline distT="0" distB="0" distL="0" distR="0">
            <wp:extent cx="4734581" cy="1871472"/>
            <wp:effectExtent l="0" t="0" r="0" b="0"/>
            <wp:docPr id="3" name="image5.jpeg"/>
            <wp:cNvGraphicFramePr>
              <a:graphicFrameLocks noChangeAspect="1"/>
            </wp:cNvGraphicFramePr>
            <a:graphic>
              <a:graphicData uri="http://schemas.openxmlformats.org/drawingml/2006/picture">
                <pic:pic>
                  <pic:nvPicPr>
                    <pic:cNvPr id="4" name="image5.jpeg"/>
                    <pic:cNvPicPr/>
                  </pic:nvPicPr>
                  <pic:blipFill>
                    <a:blip r:embed="rId11" cstate="print"/>
                    <a:stretch>
                      <a:fillRect/>
                    </a:stretch>
                  </pic:blipFill>
                  <pic:spPr>
                    <a:xfrm>
                      <a:off x="0" y="0"/>
                      <a:ext cx="4734581" cy="1871472"/>
                    </a:xfrm>
                    <a:prstGeom prst="rect">
                      <a:avLst/>
                    </a:prstGeom>
                  </pic:spPr>
                </pic:pic>
              </a:graphicData>
            </a:graphic>
          </wp:inline>
        </w:drawing>
      </w:r>
      <w:r>
        <w:rPr>
          <w:sz w:val="20"/>
        </w:rPr>
      </w:r>
    </w:p>
    <w:p>
      <w:pPr>
        <w:pStyle w:val="BodyText"/>
        <w:spacing w:line="364" w:lineRule="auto"/>
        <w:ind w:left="716" w:right="250" w:firstLine="480"/>
        <w:jc w:val="both"/>
      </w:pPr>
      <w:bookmarkStart w:name="英语学科学科主任陈根菊老师分享了艺体中学王牌学科的教研之道，讲求以多样形式和丰富" w:id="4"/>
      <w:bookmarkEnd w:id="4"/>
      <w:r>
        <w:rPr/>
      </w:r>
      <w:r>
        <w:rPr>
          <w:color w:val="333333"/>
        </w:rPr>
        <w:t>英语学科学科主任陈根菊老师分享了艺体中学王牌学科的教研之道，讲求以多样形式和丰富内容激发学生的兴趣与创造活力，以课题研究提升教师教能，以读本编写营造良好校园文化氛围，英语组的教研活动为各学科组作出了良好的示范。</w:t>
      </w:r>
    </w:p>
    <w:p>
      <w:pPr>
        <w:pStyle w:val="BodyText"/>
        <w:ind w:left="1719"/>
        <w:rPr>
          <w:sz w:val="20"/>
        </w:rPr>
      </w:pPr>
      <w:r>
        <w:rPr>
          <w:sz w:val="20"/>
        </w:rPr>
        <w:drawing>
          <wp:inline distT="0" distB="0" distL="0" distR="0">
            <wp:extent cx="3967108" cy="1169670"/>
            <wp:effectExtent l="0" t="0" r="0" b="0"/>
            <wp:docPr id="5" name="image6.jpeg"/>
            <wp:cNvGraphicFramePr>
              <a:graphicFrameLocks noChangeAspect="1"/>
            </wp:cNvGraphicFramePr>
            <a:graphic>
              <a:graphicData uri="http://schemas.openxmlformats.org/drawingml/2006/picture">
                <pic:pic>
                  <pic:nvPicPr>
                    <pic:cNvPr id="6" name="image6.jpeg"/>
                    <pic:cNvPicPr/>
                  </pic:nvPicPr>
                  <pic:blipFill>
                    <a:blip r:embed="rId12" cstate="print"/>
                    <a:stretch>
                      <a:fillRect/>
                    </a:stretch>
                  </pic:blipFill>
                  <pic:spPr>
                    <a:xfrm>
                      <a:off x="0" y="0"/>
                      <a:ext cx="3967108" cy="1169670"/>
                    </a:xfrm>
                    <a:prstGeom prst="rect">
                      <a:avLst/>
                    </a:prstGeom>
                  </pic:spPr>
                </pic:pic>
              </a:graphicData>
            </a:graphic>
          </wp:inline>
        </w:drawing>
      </w:r>
      <w:r>
        <w:rPr>
          <w:sz w:val="20"/>
        </w:rPr>
      </w:r>
    </w:p>
    <w:p>
      <w:pPr>
        <w:spacing w:after="0"/>
        <w:rPr>
          <w:sz w:val="20"/>
        </w:rPr>
        <w:sectPr>
          <w:pgSz w:w="11900" w:h="16840"/>
          <w:pgMar w:header="0" w:footer="735" w:top="1580" w:bottom="920" w:left="700" w:right="1200"/>
        </w:sectPr>
      </w:pPr>
    </w:p>
    <w:p>
      <w:pPr>
        <w:pStyle w:val="BodyText"/>
        <w:spacing w:line="364" w:lineRule="auto" w:before="43"/>
        <w:ind w:left="716" w:right="248" w:firstLine="480"/>
      </w:pPr>
      <w:bookmarkStart w:name="高2021届语文教研组长周一老师从整体规划和考纲解读的角度分享了艺体中学语文组的" w:id="5"/>
      <w:bookmarkEnd w:id="5"/>
      <w:r>
        <w:rPr/>
      </w:r>
      <w:r>
        <w:rPr>
          <w:color w:val="333333"/>
          <w:spacing w:val="-25"/>
        </w:rPr>
        <w:t>高 </w:t>
      </w:r>
      <w:r>
        <w:rPr>
          <w:color w:val="333333"/>
        </w:rPr>
        <w:t>2021</w:t>
      </w:r>
      <w:r>
        <w:rPr>
          <w:color w:val="333333"/>
          <w:spacing w:val="-8"/>
        </w:rPr>
        <w:t> 届语文教研组长周一老师从整体规划和考纲解读的角度分享了艺体中学语</w:t>
      </w:r>
      <w:r>
        <w:rPr>
          <w:color w:val="333333"/>
        </w:rPr>
        <w:t>文组的崛起之路，大单元设计主题鲜明，多维度提升学生语文素养。</w:t>
      </w:r>
    </w:p>
    <w:p>
      <w:pPr>
        <w:pStyle w:val="BodyText"/>
        <w:ind w:left="1433"/>
        <w:rPr>
          <w:sz w:val="20"/>
        </w:rPr>
      </w:pPr>
      <w:r>
        <w:rPr>
          <w:sz w:val="20"/>
        </w:rPr>
        <w:drawing>
          <wp:inline distT="0" distB="0" distL="0" distR="0">
            <wp:extent cx="4801375" cy="1871472"/>
            <wp:effectExtent l="0" t="0" r="0" b="0"/>
            <wp:docPr id="7" name="image7.jpeg"/>
            <wp:cNvGraphicFramePr>
              <a:graphicFrameLocks noChangeAspect="1"/>
            </wp:cNvGraphicFramePr>
            <a:graphic>
              <a:graphicData uri="http://schemas.openxmlformats.org/drawingml/2006/picture">
                <pic:pic>
                  <pic:nvPicPr>
                    <pic:cNvPr id="8" name="image7.jpeg"/>
                    <pic:cNvPicPr/>
                  </pic:nvPicPr>
                  <pic:blipFill>
                    <a:blip r:embed="rId13" cstate="print"/>
                    <a:stretch>
                      <a:fillRect/>
                    </a:stretch>
                  </pic:blipFill>
                  <pic:spPr>
                    <a:xfrm>
                      <a:off x="0" y="0"/>
                      <a:ext cx="4801375" cy="1871472"/>
                    </a:xfrm>
                    <a:prstGeom prst="rect">
                      <a:avLst/>
                    </a:prstGeom>
                  </pic:spPr>
                </pic:pic>
              </a:graphicData>
            </a:graphic>
          </wp:inline>
        </w:drawing>
      </w:r>
      <w:r>
        <w:rPr>
          <w:sz w:val="20"/>
        </w:rPr>
      </w:r>
    </w:p>
    <w:p>
      <w:pPr>
        <w:pStyle w:val="BodyText"/>
        <w:spacing w:before="10"/>
        <w:rPr>
          <w:sz w:val="20"/>
        </w:rPr>
      </w:pPr>
    </w:p>
    <w:p>
      <w:pPr>
        <w:pStyle w:val="BodyText"/>
        <w:spacing w:line="364" w:lineRule="auto"/>
        <w:ind w:left="716" w:right="403" w:firstLine="480"/>
        <w:jc w:val="both"/>
      </w:pPr>
      <w:r>
        <w:rPr>
          <w:color w:val="333333"/>
        </w:rPr>
        <w:t>音乐学科主任何建军老师从艺体中学的艺体音韵与学生心灵产生共振的风采；美术学科主任王秀兰老师分享了美术组进无止境的狼性文化，及美术学科组深沉的特色育人情怀。</w:t>
      </w:r>
    </w:p>
    <w:p>
      <w:pPr>
        <w:pStyle w:val="BodyText"/>
        <w:ind w:left="917"/>
        <w:rPr>
          <w:sz w:val="20"/>
        </w:rPr>
      </w:pPr>
      <w:r>
        <w:rPr>
          <w:sz w:val="20"/>
        </w:rPr>
        <w:drawing>
          <wp:inline distT="0" distB="0" distL="0" distR="0">
            <wp:extent cx="5250869" cy="1637538"/>
            <wp:effectExtent l="0" t="0" r="0" b="0"/>
            <wp:docPr id="9" name="image8.jpeg"/>
            <wp:cNvGraphicFramePr>
              <a:graphicFrameLocks noChangeAspect="1"/>
            </wp:cNvGraphicFramePr>
            <a:graphic>
              <a:graphicData uri="http://schemas.openxmlformats.org/drawingml/2006/picture">
                <pic:pic>
                  <pic:nvPicPr>
                    <pic:cNvPr id="10" name="image8.jpeg"/>
                    <pic:cNvPicPr/>
                  </pic:nvPicPr>
                  <pic:blipFill>
                    <a:blip r:embed="rId14" cstate="print"/>
                    <a:stretch>
                      <a:fillRect/>
                    </a:stretch>
                  </pic:blipFill>
                  <pic:spPr>
                    <a:xfrm>
                      <a:off x="0" y="0"/>
                      <a:ext cx="5250869" cy="1637538"/>
                    </a:xfrm>
                    <a:prstGeom prst="rect">
                      <a:avLst/>
                    </a:prstGeom>
                  </pic:spPr>
                </pic:pic>
              </a:graphicData>
            </a:graphic>
          </wp:inline>
        </w:drawing>
      </w:r>
      <w:r>
        <w:rPr>
          <w:sz w:val="20"/>
        </w:rPr>
      </w:r>
    </w:p>
    <w:p>
      <w:pPr>
        <w:pStyle w:val="BodyText"/>
        <w:rPr>
          <w:sz w:val="5"/>
        </w:rPr>
      </w:pPr>
    </w:p>
    <w:p>
      <w:pPr>
        <w:pStyle w:val="BodyText"/>
        <w:ind w:left="917"/>
        <w:rPr>
          <w:sz w:val="20"/>
        </w:rPr>
      </w:pPr>
      <w:r>
        <w:rPr>
          <w:sz w:val="20"/>
        </w:rPr>
        <w:drawing>
          <wp:inline distT="0" distB="0" distL="0" distR="0">
            <wp:extent cx="5420329" cy="1637538"/>
            <wp:effectExtent l="0" t="0" r="0" b="0"/>
            <wp:docPr id="11" name="image9.jpeg"/>
            <wp:cNvGraphicFramePr>
              <a:graphicFrameLocks noChangeAspect="1"/>
            </wp:cNvGraphicFramePr>
            <a:graphic>
              <a:graphicData uri="http://schemas.openxmlformats.org/drawingml/2006/picture">
                <pic:pic>
                  <pic:nvPicPr>
                    <pic:cNvPr id="12" name="image9.jpeg"/>
                    <pic:cNvPicPr/>
                  </pic:nvPicPr>
                  <pic:blipFill>
                    <a:blip r:embed="rId15" cstate="print"/>
                    <a:stretch>
                      <a:fillRect/>
                    </a:stretch>
                  </pic:blipFill>
                  <pic:spPr>
                    <a:xfrm>
                      <a:off x="0" y="0"/>
                      <a:ext cx="5420329" cy="1637538"/>
                    </a:xfrm>
                    <a:prstGeom prst="rect">
                      <a:avLst/>
                    </a:prstGeom>
                  </pic:spPr>
                </pic:pic>
              </a:graphicData>
            </a:graphic>
          </wp:inline>
        </w:drawing>
      </w:r>
      <w:r>
        <w:rPr>
          <w:sz w:val="20"/>
        </w:rPr>
      </w:r>
    </w:p>
    <w:p>
      <w:pPr>
        <w:pStyle w:val="BodyText"/>
        <w:spacing w:line="364" w:lineRule="auto" w:before="98"/>
        <w:ind w:left="716" w:right="403" w:firstLine="480"/>
        <w:jc w:val="both"/>
      </w:pPr>
      <w:r>
        <w:rPr/>
        <w:t>会议第二项议程是专家点评，四川师范大学教育科学</w:t>
      </w:r>
      <w:r>
        <w:rPr>
          <w:color w:val="333333"/>
        </w:rPr>
        <w:t>研究院院长李松林教授对艺体中学特色课程建设做了精要点评和建议，从顶层设计到具体课堂，李教授</w:t>
      </w:r>
      <w:r>
        <w:rPr/>
        <w:t>从校本教研的主题、校本教研的核心组织、落实核心素养的课程教学特色及如何开发特色课程等方面，给予了学校课程建设的如下建议：首先，学校要有统筹、特色意识，将特色渗透至课程；其次，各部门要有规划意识；第三，教研团队要有围绕围绕核心素养进行深入挖掘教材，并提炼大概念一以贯之的学科意识。</w:t>
      </w:r>
    </w:p>
    <w:p>
      <w:pPr>
        <w:spacing w:after="0" w:line="364" w:lineRule="auto"/>
        <w:jc w:val="both"/>
        <w:sectPr>
          <w:pgSz w:w="11900" w:h="16840"/>
          <w:pgMar w:header="0" w:footer="735" w:top="1380" w:bottom="920" w:left="700" w:right="1200"/>
        </w:sectPr>
      </w:pPr>
    </w:p>
    <w:p>
      <w:pPr>
        <w:pStyle w:val="BodyText"/>
        <w:ind w:left="917"/>
        <w:rPr>
          <w:sz w:val="20"/>
        </w:rPr>
      </w:pPr>
      <w:r>
        <w:rPr>
          <w:sz w:val="20"/>
        </w:rPr>
        <w:drawing>
          <wp:inline distT="0" distB="0" distL="0" distR="0">
            <wp:extent cx="5065275" cy="1871472"/>
            <wp:effectExtent l="0" t="0" r="0" b="0"/>
            <wp:docPr id="13" name="image10.jpeg"/>
            <wp:cNvGraphicFramePr>
              <a:graphicFrameLocks noChangeAspect="1"/>
            </wp:cNvGraphicFramePr>
            <a:graphic>
              <a:graphicData uri="http://schemas.openxmlformats.org/drawingml/2006/picture">
                <pic:pic>
                  <pic:nvPicPr>
                    <pic:cNvPr id="14" name="image10.jpeg"/>
                    <pic:cNvPicPr/>
                  </pic:nvPicPr>
                  <pic:blipFill>
                    <a:blip r:embed="rId16" cstate="print"/>
                    <a:stretch>
                      <a:fillRect/>
                    </a:stretch>
                  </pic:blipFill>
                  <pic:spPr>
                    <a:xfrm>
                      <a:off x="0" y="0"/>
                      <a:ext cx="5065275" cy="1871472"/>
                    </a:xfrm>
                    <a:prstGeom prst="rect">
                      <a:avLst/>
                    </a:prstGeom>
                  </pic:spPr>
                </pic:pic>
              </a:graphicData>
            </a:graphic>
          </wp:inline>
        </w:drawing>
      </w:r>
      <w:r>
        <w:rPr>
          <w:sz w:val="20"/>
        </w:rPr>
      </w:r>
    </w:p>
    <w:p>
      <w:pPr>
        <w:pStyle w:val="BodyText"/>
        <w:rPr>
          <w:sz w:val="18"/>
        </w:rPr>
      </w:pPr>
    </w:p>
    <w:p>
      <w:pPr>
        <w:pStyle w:val="BodyText"/>
        <w:spacing w:line="364" w:lineRule="auto" w:before="67"/>
        <w:ind w:left="716" w:right="403" w:firstLine="480"/>
      </w:pPr>
      <w:r>
        <w:rPr/>
        <w:t>随后，工作室导师廖洪森组织大家认真学习了《教育部关于加强和改进新时代基础教育教研工作的意见》。强调教研工作要实现六个方面的转型：</w:t>
      </w:r>
    </w:p>
    <w:p>
      <w:pPr>
        <w:pStyle w:val="BodyText"/>
        <w:spacing w:line="364" w:lineRule="auto" w:before="1"/>
        <w:ind w:left="716" w:right="258" w:firstLine="513"/>
        <w:jc w:val="both"/>
      </w:pPr>
      <w:r>
        <w:rPr>
          <w:color w:val="333333"/>
        </w:rPr>
        <w:t>一是研究重心的转型，研究由“以教为主”向“以学为主”转型，以学为主是新时期教学改革的重大转变，也是世界各国教学改革的趋势，所以教研的重点要指导怎么教的好，更要研究如何通过教让学生学得好。</w:t>
      </w:r>
    </w:p>
    <w:p>
      <w:pPr>
        <w:pStyle w:val="BodyText"/>
        <w:spacing w:line="364" w:lineRule="auto"/>
        <w:ind w:left="716" w:right="255" w:firstLine="513"/>
        <w:jc w:val="both"/>
      </w:pPr>
      <w:r>
        <w:rPr>
          <w:color w:val="333333"/>
        </w:rPr>
        <w:t>二是研究方式方法的转型，就是要从基于经验的研究转向基于数据和实践的研究。中国人重经验，中医靠经验，算卦靠经验，在数据的时代，要通过新的技术手段、通过大数据为教学改革提供依据。最近有一本书叫《未来简史》，告诉人们， 以后做出任何判断、决策都会通过数据的计算寻求答案，教研工作也是这样的。</w:t>
      </w:r>
    </w:p>
    <w:p>
      <w:pPr>
        <w:pStyle w:val="BodyText"/>
        <w:spacing w:line="364" w:lineRule="auto"/>
        <w:ind w:left="716" w:right="255" w:firstLine="513"/>
        <w:jc w:val="both"/>
      </w:pPr>
      <w:r>
        <w:rPr>
          <w:color w:val="333333"/>
        </w:rPr>
        <w:t>三是研究思路的转型，要从注重统一性要求向个性化服务转型，传统的观念里，特别是现在的学校制度和班级授课制，很难考虑到学生个性化发展，因材施教几乎是一句空话，随着学习方式的变化，教学手段的改进，个性化学习成为可能， 现在的走班选课制就是对传统教学的颠覆，这也是教研工作研究的重点。</w:t>
      </w:r>
    </w:p>
    <w:p>
      <w:pPr>
        <w:pStyle w:val="BodyText"/>
        <w:spacing w:line="364" w:lineRule="auto"/>
        <w:ind w:left="716" w:right="255" w:firstLine="513"/>
        <w:jc w:val="both"/>
      </w:pPr>
      <w:r>
        <w:rPr>
          <w:color w:val="333333"/>
        </w:rPr>
        <w:t>四是研究领域的转型，即由研究课堂教学转向研究育人方式的转变，现在社会对人的成长要求是全面的，全员育人、全程育人、全方位育人已经成为一种趋势。教研工作要研究教学，还要研究哪些要素影响学生的成长，还要研究课程建设、教学评价、教学组织等等如何更加有利于人才成长。</w:t>
      </w:r>
    </w:p>
    <w:p>
      <w:pPr>
        <w:pStyle w:val="BodyText"/>
        <w:spacing w:line="364" w:lineRule="auto"/>
        <w:ind w:left="716" w:right="255" w:firstLine="513"/>
        <w:jc w:val="both"/>
      </w:pPr>
      <w:r>
        <w:rPr>
          <w:color w:val="333333"/>
        </w:rPr>
        <w:t>五是研究视野的转型，过去我们教研更多的关注了教材教法，现在我们要对影响教学质量的全要素进行研究，要研究一所学校、一个区域，如何对育人的资源进行有机整合，教学改进如何规划等等。</w:t>
      </w:r>
    </w:p>
    <w:p>
      <w:pPr>
        <w:pStyle w:val="BodyText"/>
        <w:spacing w:line="364" w:lineRule="auto"/>
        <w:ind w:left="716" w:right="255" w:firstLine="513"/>
        <w:jc w:val="both"/>
      </w:pPr>
      <w:r>
        <w:rPr>
          <w:color w:val="333333"/>
        </w:rPr>
        <w:t>六是研究手段的转型，今天教学改革已经无法回避信息技术、互联网、人工智能、大数据的影响，智慧课堂、翻转课堂、创客教室、STEM 课程等等正在走进学校，影响教学，教研工作必须给予关注。</w:t>
      </w:r>
    </w:p>
    <w:p>
      <w:pPr>
        <w:spacing w:after="0" w:line="364" w:lineRule="auto"/>
        <w:jc w:val="both"/>
        <w:sectPr>
          <w:pgSz w:w="11900" w:h="16840"/>
          <w:pgMar w:header="0" w:footer="735" w:top="1420" w:bottom="920" w:left="700" w:right="1200"/>
        </w:sectPr>
      </w:pPr>
    </w:p>
    <w:p>
      <w:pPr>
        <w:pStyle w:val="Heading1"/>
        <w:spacing w:before="23"/>
        <w:ind w:left="866" w:right="1130"/>
      </w:pPr>
      <w:r>
        <w:rPr>
          <w:color w:val="090909"/>
        </w:rPr>
        <w:t>点赞“中国之治”，不忘教育初心</w:t>
      </w:r>
    </w:p>
    <w:p>
      <w:pPr>
        <w:pStyle w:val="Heading2"/>
        <w:spacing w:before="307"/>
        <w:ind w:left="4356"/>
      </w:pPr>
      <w:r>
        <w:rPr/>
        <w:t>——廖洪森工作室高中教师线上学习交流</w:t>
      </w:r>
    </w:p>
    <w:p>
      <w:pPr>
        <w:pStyle w:val="BodyText"/>
        <w:spacing w:line="398" w:lineRule="auto" w:before="236"/>
        <w:ind w:left="716" w:right="474" w:firstLine="480"/>
      </w:pPr>
      <w:r>
        <w:rPr>
          <w:color w:val="181818"/>
        </w:rPr>
        <w:t>为深入贯彻党的十九届四中全会精神，</w:t>
      </w:r>
      <w:r>
        <w:rPr>
          <w:rFonts w:ascii="Arial" w:hAnsi="Arial" w:eastAsia="Arial"/>
          <w:color w:val="181818"/>
        </w:rPr>
        <w:t>2020 </w:t>
      </w:r>
      <w:r>
        <w:rPr>
          <w:color w:val="181818"/>
          <w:spacing w:val="-30"/>
        </w:rPr>
        <w:t>年 </w:t>
      </w:r>
      <w:r>
        <w:rPr>
          <w:rFonts w:ascii="Arial" w:hAnsi="Arial" w:eastAsia="Arial"/>
          <w:color w:val="181818"/>
        </w:rPr>
        <w:t>5 </w:t>
      </w:r>
      <w:r>
        <w:rPr>
          <w:color w:val="181818"/>
          <w:spacing w:val="-30"/>
        </w:rPr>
        <w:t>月 </w:t>
      </w:r>
      <w:r>
        <w:rPr>
          <w:rFonts w:ascii="Arial" w:hAnsi="Arial" w:eastAsia="Arial"/>
          <w:color w:val="181818"/>
        </w:rPr>
        <w:t>8 </w:t>
      </w:r>
      <w:r>
        <w:rPr>
          <w:color w:val="181818"/>
          <w:spacing w:val="-2"/>
        </w:rPr>
        <w:t>日，工作室组织高中教师</w:t>
      </w:r>
      <w:r>
        <w:rPr>
          <w:color w:val="181818"/>
        </w:rPr>
        <w:t>们认真学习了</w:t>
      </w:r>
      <w:r>
        <w:rPr/>
        <w:t>“</w:t>
      </w:r>
      <w:r>
        <w:rPr>
          <w:color w:val="181818"/>
        </w:rPr>
        <w:t>中国之治</w:t>
      </w:r>
      <w:r>
        <w:rPr/>
        <w:t>”的相关内容</w:t>
      </w:r>
      <w:r>
        <w:rPr>
          <w:color w:val="181818"/>
        </w:rPr>
        <w:t>，通过深入交流学习，达成了以下共识：</w:t>
      </w:r>
    </w:p>
    <w:p>
      <w:pPr>
        <w:pStyle w:val="BodyText"/>
        <w:ind w:left="716"/>
        <w:rPr>
          <w:sz w:val="20"/>
        </w:rPr>
      </w:pPr>
      <w:r>
        <w:rPr>
          <w:sz w:val="20"/>
        </w:rPr>
        <w:drawing>
          <wp:inline distT="0" distB="0" distL="0" distR="0">
            <wp:extent cx="5354295" cy="2032635"/>
            <wp:effectExtent l="0" t="0" r="0" b="0"/>
            <wp:docPr id="15" name="image11.jpeg"/>
            <wp:cNvGraphicFramePr>
              <a:graphicFrameLocks noChangeAspect="1"/>
            </wp:cNvGraphicFramePr>
            <a:graphic>
              <a:graphicData uri="http://schemas.openxmlformats.org/drawingml/2006/picture">
                <pic:pic>
                  <pic:nvPicPr>
                    <pic:cNvPr id="16" name="image11.jpeg"/>
                    <pic:cNvPicPr/>
                  </pic:nvPicPr>
                  <pic:blipFill>
                    <a:blip r:embed="rId17" cstate="print"/>
                    <a:stretch>
                      <a:fillRect/>
                    </a:stretch>
                  </pic:blipFill>
                  <pic:spPr>
                    <a:xfrm>
                      <a:off x="0" y="0"/>
                      <a:ext cx="5354295" cy="2032635"/>
                    </a:xfrm>
                    <a:prstGeom prst="rect">
                      <a:avLst/>
                    </a:prstGeom>
                  </pic:spPr>
                </pic:pic>
              </a:graphicData>
            </a:graphic>
          </wp:inline>
        </w:drawing>
      </w:r>
      <w:r>
        <w:rPr>
          <w:sz w:val="20"/>
        </w:rPr>
      </w:r>
    </w:p>
    <w:p>
      <w:pPr>
        <w:pStyle w:val="BodyText"/>
        <w:spacing w:line="398" w:lineRule="auto" w:before="156"/>
        <w:ind w:left="716" w:right="643" w:firstLine="480"/>
      </w:pPr>
      <w:r>
        <w:rPr>
          <w:color w:val="181818"/>
        </w:rPr>
        <w:t>党的十九届四中全会通过的《中共中央关于坚持和完善中国特色社会主义制 </w:t>
      </w:r>
      <w:r>
        <w:rPr>
          <w:color w:val="181818"/>
          <w:spacing w:val="-1"/>
        </w:rPr>
        <w:t>度、推进国家治理体系和治理能力现代化若干重大问题的决定》，为坚持和完善中国特色社会主义制度，推进国家治理体系和治理能力现代化指明了努力方向，为我</w:t>
      </w:r>
      <w:r>
        <w:rPr>
          <w:color w:val="181818"/>
        </w:rPr>
        <w:t>们推动各方面制度更加成熟、更加定型明确了时间表，路线图，也指明了未来的 “中国之治”究竟应该坚持和巩固什么、完善和发展什么。</w:t>
      </w:r>
    </w:p>
    <w:p>
      <w:pPr>
        <w:pStyle w:val="Heading3"/>
        <w:spacing w:before="3"/>
        <w:ind w:left="1196"/>
        <w:rPr>
          <w:rFonts w:ascii="黑体" w:hAnsi="黑体" w:eastAsia="黑体" w:hint="eastAsia"/>
        </w:rPr>
      </w:pPr>
      <w:r>
        <w:rPr>
          <w:rFonts w:ascii="黑体" w:hAnsi="黑体" w:eastAsia="黑体" w:hint="eastAsia"/>
        </w:rPr>
        <w:t>一、从三个维度来理解“中国之治”的内涵</w:t>
      </w:r>
    </w:p>
    <w:p>
      <w:pPr>
        <w:spacing w:line="398" w:lineRule="auto" w:before="204"/>
        <w:ind w:left="1196" w:right="643" w:firstLine="0"/>
        <w:jc w:val="left"/>
        <w:rPr>
          <w:sz w:val="24"/>
        </w:rPr>
      </w:pPr>
      <w:r>
        <w:rPr>
          <w:b/>
          <w:sz w:val="24"/>
        </w:rPr>
        <w:t>（一）历史的维度</w:t>
      </w:r>
      <w:r>
        <w:rPr>
          <w:sz w:val="24"/>
        </w:rPr>
        <w:t>一</w:t>
      </w:r>
      <w:r>
        <w:rPr>
          <w:b/>
          <w:sz w:val="24"/>
        </w:rPr>
        <w:t>一党和人民群众在斗争实践中检验得来的“人间正道” </w:t>
      </w:r>
      <w:r>
        <w:rPr>
          <w:spacing w:val="-1"/>
          <w:sz w:val="24"/>
        </w:rPr>
        <w:t>从新中国成立之初的一穷二白、满目疮痍、百废待兴，到如今的举世瞩目、繁</w:t>
      </w:r>
    </w:p>
    <w:p>
      <w:pPr>
        <w:pStyle w:val="BodyText"/>
        <w:spacing w:line="398" w:lineRule="auto" w:before="2"/>
        <w:ind w:left="716" w:right="643"/>
        <w:jc w:val="both"/>
      </w:pPr>
      <w:r>
        <w:rPr>
          <w:spacing w:val="-1"/>
        </w:rPr>
        <w:t>荣昌盛、走向复兴，我们党扛着“为人民谋幸福、为民族谋复兴”的初心使命，团结带领全党全国各族人民不断探索、开拓前行，走出了适应我国基本国情和发展要求的中国特色社会主义道路，形成了具有独特优势的国家治理体系和治理能力。历史和实践已经证明，“中国之治”既不是传统社会治理模式的“衍生品”，也不是外国社会治理模式的“舶来品”，更不是西方现代治理模式的“复制品”，而是中国历史发展的必然产物，是中国人民在救亡图存斗争中顽强求索的必然产物。当前正处于实现中华民族伟大复兴关键时期，世情国情党情发生深刻变化，面临的挑战</w:t>
      </w:r>
    </w:p>
    <w:p>
      <w:pPr>
        <w:spacing w:after="0" w:line="398" w:lineRule="auto"/>
        <w:jc w:val="both"/>
        <w:sectPr>
          <w:pgSz w:w="11900" w:h="16840"/>
          <w:pgMar w:header="0" w:footer="735" w:top="1400" w:bottom="920" w:left="700" w:right="1200"/>
        </w:sectPr>
      </w:pPr>
    </w:p>
    <w:p>
      <w:pPr>
        <w:pStyle w:val="BodyText"/>
        <w:spacing w:line="398" w:lineRule="auto" w:before="43"/>
        <w:ind w:left="716" w:right="523"/>
      </w:pPr>
      <w:r>
        <w:rPr/>
        <w:t>和风险更加复杂,必须毫不动摇地坚持和完善中国特色社会主义制度并推进国家治理体系和治理能力现代化，毫不动摇地坚守这条“人间正道”。</w:t>
      </w:r>
    </w:p>
    <w:p>
      <w:pPr>
        <w:pStyle w:val="Heading3"/>
        <w:spacing w:line="398" w:lineRule="auto" w:before="1"/>
        <w:ind w:left="716" w:right="730" w:firstLine="480"/>
      </w:pPr>
      <w:r>
        <w:rPr/>
        <w:t>（二）制度的维度</w:t>
      </w:r>
      <w:r>
        <w:rPr>
          <w:b w:val="0"/>
        </w:rPr>
        <w:t>——</w:t>
      </w:r>
      <w:r>
        <w:rPr/>
        <w:t>-第一次系统描绘了中国特色社会主义制度的“密码图谱”，制度是建党之基、立国之本。</w:t>
      </w:r>
    </w:p>
    <w:p>
      <w:pPr>
        <w:pStyle w:val="BodyText"/>
        <w:spacing w:line="398" w:lineRule="auto" w:before="2"/>
        <w:ind w:left="716" w:right="523" w:firstLine="480"/>
      </w:pPr>
      <w:r>
        <w:rPr/>
        <w:t>新中国成立后，我们党创造性地运用马克思主义理论，确立了社会主义基本制度。党的十一届三中全会以来，我们党不断推进理论创新，科学回答了“什么是社会主义、怎样建设社会主义”“建设什么样的党、怎样建设党”“实现什么样的发展、怎样发展”等一系列重大时代课题。党的十八大以来，以习近平同志为核心的党中央更加重视国家制度建设、国家治理体系和治理能力建设，以巨大的政治勇气</w:t>
      </w:r>
      <w:r>
        <w:rPr>
          <w:spacing w:val="-1"/>
        </w:rPr>
        <w:t>和强烈的责任担当,提出一系列新理念新思想新战略，出台一系列重大方针政策，推</w:t>
      </w:r>
      <w:r>
        <w:rPr/>
        <w:t>动党和国家事业取得了全方位、开创性的伟大成就。而今，党的十九届四中全会第一次全面回答了在我国国家制度和国家治理上应该“坚持和巩固什么、完善和发展什么”重大政治问题，第一次精炼概括了以党的领导制度为统领的国家制度和国家</w:t>
      </w:r>
      <w:r>
        <w:rPr>
          <w:spacing w:val="-10"/>
        </w:rPr>
        <w:t>治理体系在 </w:t>
      </w:r>
      <w:r>
        <w:rPr/>
        <w:t>13</w:t>
      </w:r>
      <w:r>
        <w:rPr>
          <w:spacing w:val="-9"/>
        </w:rPr>
        <w:t> 个方面的显著优势，这是“中国之治”的制度密码、制度图谱，为当</w:t>
      </w:r>
      <w:r>
        <w:rPr/>
        <w:t>代中国发展进步、实现中华民族伟大复兴提供了有力保证。</w:t>
      </w:r>
    </w:p>
    <w:p>
      <w:pPr>
        <w:pStyle w:val="Heading3"/>
        <w:spacing w:before="6"/>
        <w:ind w:left="1196"/>
      </w:pPr>
      <w:r>
        <w:rPr/>
        <w:t>（三）世界的维度</w:t>
      </w:r>
      <w:r>
        <w:rPr>
          <w:b w:val="0"/>
        </w:rPr>
        <w:t>一</w:t>
      </w:r>
      <w:r>
        <w:rPr/>
        <w:t>一为全球治理体系贡献“中国智慧”和“中国方案”</w:t>
      </w:r>
    </w:p>
    <w:p>
      <w:pPr>
        <w:pStyle w:val="BodyText"/>
        <w:spacing w:line="398" w:lineRule="auto" w:before="203"/>
        <w:ind w:left="716" w:right="643" w:firstLine="480"/>
        <w:jc w:val="both"/>
      </w:pPr>
      <w:r>
        <w:rPr/>
        <w:t>屹立于世界东方的中华民族，正在日益走向世界舞台的中央，更加积极地参与全球的治理。一个个重大举措，一项项重大活动，一个个扎实成绩，这个全球最大的经济增长引擎，让全世界赞美“中国奇迹”、钦佩“中国力量”、倾听“中国声音”、惊叹“中国速度”。从实施共建“一带一路”倡议，发起创办亚洲基础设施投资银行，设立丝路基金，到举办亚太经合组织领导人非正式会议、二十国集团领导人峰会、金砖国家领导人会晤，中国作为国际形势的稳定之锚、世界增长的发动机、和平发展的正能量、全球治理的新动力，以命运共同体的新视角，同舟共济、合作共赢的新理念，提出了维护世界和平与发展的“中国方案”，为世界上许多国家治国理政、推进国家治理体系和治理能力现代化贡献了中国智慧、中国力量。登高又望远，行进在“中国之治”的新征程上，唯有时刻铭记、始终坚守，坚定不移</w:t>
      </w:r>
    </w:p>
    <w:p>
      <w:pPr>
        <w:spacing w:after="0" w:line="398" w:lineRule="auto"/>
        <w:jc w:val="both"/>
        <w:sectPr>
          <w:pgSz w:w="11900" w:h="16840"/>
          <w:pgMar w:header="0" w:footer="735" w:top="1380" w:bottom="920" w:left="700" w:right="1200"/>
        </w:sectPr>
      </w:pPr>
    </w:p>
    <w:p>
      <w:pPr>
        <w:pStyle w:val="BodyText"/>
        <w:spacing w:line="398" w:lineRule="auto" w:before="43"/>
        <w:ind w:left="716" w:right="643"/>
      </w:pPr>
      <w:r>
        <w:rPr/>
        <w:t>走中国特色社会主义道路，坚持不懈推进国家治理体系和治理能力现代化，“复兴号”巨轮才能披荆斩棘、行稳致远。</w:t>
      </w:r>
    </w:p>
    <w:p>
      <w:pPr>
        <w:pStyle w:val="Heading3"/>
        <w:spacing w:before="1"/>
        <w:ind w:left="1196"/>
        <w:rPr>
          <w:rFonts w:ascii="黑体" w:hAnsi="黑体" w:eastAsia="黑体" w:hint="eastAsia"/>
        </w:rPr>
      </w:pPr>
      <w:r>
        <w:rPr>
          <w:rFonts w:ascii="黑体" w:hAnsi="黑体" w:eastAsia="黑体" w:hint="eastAsia"/>
        </w:rPr>
        <w:t>二、点赞“中国之治”，共克时艰</w:t>
      </w:r>
    </w:p>
    <w:p>
      <w:pPr>
        <w:pStyle w:val="BodyText"/>
        <w:spacing w:line="398" w:lineRule="auto" w:before="204"/>
        <w:ind w:left="716" w:right="643" w:firstLine="480"/>
      </w:pPr>
      <w:r>
        <w:rPr/>
        <w:t>“点赞中国之治，践行初心使命”，制度、智慧、志气总结起来就是中国之 </w:t>
      </w:r>
      <w:r>
        <w:rPr>
          <w:spacing w:val="-1"/>
        </w:rPr>
        <w:t>治，治理的治，治国的治，疫情就是命令，防控就是责任，在党中央领导下，全国人民同舟共济，众志成城，在“中国之治”的保驾护航下，胜利必来，花枝春满， 山河无恙，人间皆安。“中国之治”，是政党之治，是社会之治，是国家之治，是</w:t>
      </w:r>
      <w:r>
        <w:rPr/>
        <w:t>有温度有情怀的中国特色社会主义之治，“中国之治”还是对世界文明的卓越贡 献。</w:t>
      </w:r>
    </w:p>
    <w:p>
      <w:pPr>
        <w:pStyle w:val="BodyText"/>
        <w:spacing w:line="398" w:lineRule="auto" w:before="2"/>
        <w:ind w:left="716" w:right="643" w:firstLine="480"/>
        <w:jc w:val="both"/>
      </w:pPr>
      <w:r>
        <w:rPr/>
        <w:t>点赞中国之治，点赞社会上每一个人，在平凡中书写不平凡的人生。在这场没有硝烟的“抗疫”战场上，不管是冲锋在前的党员同志，还是与时间赛跑，和病毒搏斗的最美逆行者，亦或是每一个为武汉加油，为中国加油，捐钱捐物的捐赠者， 都在挺身而出，义无反顾，冲锋在疫情防控的第一线。走在前，干在前，冲在前， 在疫情面前用自己的血肉之躯构筑起了一道道铜墙铁壁。因为在他们心中，践行着初心和使命，牢记着我是中国人。坚守着中国制度，中国治理，中国自信。</w:t>
      </w:r>
    </w:p>
    <w:p>
      <w:pPr>
        <w:pStyle w:val="BodyText"/>
        <w:spacing w:line="398" w:lineRule="auto" w:before="4"/>
        <w:ind w:left="716" w:right="643" w:firstLine="480"/>
      </w:pPr>
      <w:r>
        <w:rPr>
          <w:spacing w:val="-1"/>
        </w:rPr>
        <w:t>在抗疫期间，老师们始终冲锋在前，停课不停学，坚持线上授课，每天保持家</w:t>
      </w:r>
      <w:r>
        <w:rPr>
          <w:spacing w:val="-2"/>
        </w:rPr>
        <w:t>校联系，早中晚打卡，监测学生身体、心理健康，督查学生学习状况。利用 </w:t>
      </w:r>
      <w:r>
        <w:rPr/>
        <w:t>QQ</w:t>
      </w:r>
      <w:r>
        <w:rPr>
          <w:spacing w:val="-30"/>
        </w:rPr>
        <w:t> 课堂，讨论组、直播教室等形式进行教学。疫情无情人有情，教师错时到校，为学生</w:t>
      </w:r>
      <w:r>
        <w:rPr/>
        <w:t>拿课本。学校坚持线上开教师会、学生会、家长会。</w:t>
      </w:r>
    </w:p>
    <w:p>
      <w:pPr>
        <w:pStyle w:val="BodyText"/>
        <w:spacing w:line="398" w:lineRule="auto" w:before="1"/>
        <w:ind w:left="716" w:right="643" w:firstLine="480"/>
        <w:jc w:val="both"/>
      </w:pPr>
      <w:r>
        <w:rPr/>
        <w:t>作为教师，我们更要切实增强政治自觉、思想自觉和行动自觉，全面贯彻落实新时代党的教育方针，以更加昂扬的奋进姿态、以更加坚定的责任担当做好教育管理服务工作，让全体学生增强对优质公平教育的获得感、满意感和幸福感，协力协同推动教育现代化事业健康和谐更高质量发展。我们要牢固树立健康第一、全面发展的教育理念，坚持以德育人、以身立教，积极担负起立德树人、“三全”育人的新使命。</w:t>
      </w:r>
    </w:p>
    <w:p>
      <w:pPr>
        <w:spacing w:after="0" w:line="398" w:lineRule="auto"/>
        <w:jc w:val="both"/>
        <w:sectPr>
          <w:pgSz w:w="11900" w:h="16840"/>
          <w:pgMar w:header="0" w:footer="735" w:top="1380" w:bottom="920" w:left="700" w:right="1200"/>
        </w:sectPr>
      </w:pPr>
    </w:p>
    <w:p>
      <w:pPr>
        <w:pStyle w:val="Heading1"/>
        <w:tabs>
          <w:tab w:pos="3071" w:val="left" w:leader="none"/>
        </w:tabs>
        <w:spacing w:before="23"/>
        <w:ind w:left="0" w:right="84"/>
      </w:pPr>
      <w:r>
        <w:rPr/>
        <w:t>深耕备播三秋忙</w:t>
        <w:tab/>
        <w:t>名师引领待花开</w:t>
      </w:r>
    </w:p>
    <w:p>
      <w:pPr>
        <w:spacing w:line="638" w:lineRule="exact" w:before="36"/>
        <w:ind w:left="1299" w:right="488" w:firstLine="2056"/>
        <w:jc w:val="both"/>
        <w:rPr>
          <w:sz w:val="24"/>
        </w:rPr>
      </w:pPr>
      <w:r>
        <w:rPr>
          <w:b/>
          <w:sz w:val="24"/>
        </w:rPr>
        <w:t>——工作室初中教师《道德与法治》复习课在线教研活动</w:t>
      </w:r>
      <w:r>
        <w:rPr>
          <w:spacing w:val="6"/>
          <w:sz w:val="24"/>
        </w:rPr>
        <w:t>为把握中考备考方向，科学有效的复习，</w:t>
      </w:r>
      <w:r>
        <w:rPr>
          <w:sz w:val="24"/>
        </w:rPr>
        <w:t>2020</w:t>
      </w:r>
      <w:r>
        <w:rPr>
          <w:spacing w:val="-35"/>
          <w:sz w:val="24"/>
        </w:rPr>
        <w:t> 年 </w:t>
      </w:r>
      <w:r>
        <w:rPr>
          <w:sz w:val="24"/>
        </w:rPr>
        <w:t>5</w:t>
      </w:r>
      <w:r>
        <w:rPr>
          <w:spacing w:val="-35"/>
          <w:sz w:val="24"/>
        </w:rPr>
        <w:t> 月 </w:t>
      </w:r>
      <w:r>
        <w:rPr>
          <w:sz w:val="24"/>
        </w:rPr>
        <w:t>8</w:t>
      </w:r>
      <w:r>
        <w:rPr>
          <w:spacing w:val="-2"/>
          <w:sz w:val="24"/>
        </w:rPr>
        <w:t> 日廖洪森工作室初中</w:t>
      </w:r>
    </w:p>
    <w:p>
      <w:pPr>
        <w:pStyle w:val="BodyText"/>
        <w:spacing w:line="343" w:lineRule="auto" w:before="74"/>
        <w:ind w:left="816" w:right="486"/>
        <w:jc w:val="both"/>
      </w:pPr>
      <w:r>
        <w:rPr/>
        <w:drawing>
          <wp:anchor distT="0" distB="0" distL="0" distR="0" allowOverlap="1" layoutInCell="1" locked="0" behindDoc="1" simplePos="0" relativeHeight="250438656">
            <wp:simplePos x="0" y="0"/>
            <wp:positionH relativeFrom="page">
              <wp:posOffset>1161288</wp:posOffset>
            </wp:positionH>
            <wp:positionV relativeFrom="paragraph">
              <wp:posOffset>1663319</wp:posOffset>
            </wp:positionV>
            <wp:extent cx="5303520" cy="2057400"/>
            <wp:effectExtent l="0" t="0" r="0" b="0"/>
            <wp:wrapNone/>
            <wp:docPr id="17" name="image12.jpeg"/>
            <wp:cNvGraphicFramePr>
              <a:graphicFrameLocks noChangeAspect="1"/>
            </wp:cNvGraphicFramePr>
            <a:graphic>
              <a:graphicData uri="http://schemas.openxmlformats.org/drawingml/2006/picture">
                <pic:pic>
                  <pic:nvPicPr>
                    <pic:cNvPr id="18" name="image12.jpeg"/>
                    <pic:cNvPicPr/>
                  </pic:nvPicPr>
                  <pic:blipFill>
                    <a:blip r:embed="rId19" cstate="print"/>
                    <a:stretch>
                      <a:fillRect/>
                    </a:stretch>
                  </pic:blipFill>
                  <pic:spPr>
                    <a:xfrm>
                      <a:off x="0" y="0"/>
                      <a:ext cx="5303520" cy="2057400"/>
                    </a:xfrm>
                    <a:prstGeom prst="rect">
                      <a:avLst/>
                    </a:prstGeom>
                  </pic:spPr>
                </pic:pic>
              </a:graphicData>
            </a:graphic>
          </wp:anchor>
        </w:drawing>
      </w:r>
      <w:r>
        <w:rPr/>
        <w:t>老师们在线上认真学习了《道德与法治》中考总复习建议，中国人民大学附属中学王莹莹和李文轩两位老师讲授了人教版《道德与法治》中考备考、试题背后的思维方式与复习建议。她们按照“成长中的我——我与他人和集体——我与国家和社会”的逻辑顺序进行了教材知识的梳理和串讲，然后结合中考题，具体讲解如何解答原因类、启示类和建议类的非选择题，也讲到了如何备课，如何进行试题分析等，大家受益匪浅。</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4"/>
        <w:rPr>
          <w:sz w:val="26"/>
        </w:rPr>
      </w:pPr>
    </w:p>
    <w:p>
      <w:pPr>
        <w:pStyle w:val="Heading3"/>
        <w:ind w:left="1299"/>
      </w:pPr>
      <w:r>
        <w:rPr/>
        <w:t>一、人大附中王莹莹老师主要讲了以下四方面内容：</w:t>
      </w:r>
    </w:p>
    <w:p>
      <w:pPr>
        <w:pStyle w:val="BodyText"/>
        <w:spacing w:before="132"/>
        <w:ind w:left="1299"/>
      </w:pPr>
      <w:r>
        <w:rPr/>
        <w:t>（一）如何做启示类和建议做法类的题</w:t>
      </w:r>
    </w:p>
    <w:p>
      <w:pPr>
        <w:pStyle w:val="BodyText"/>
        <w:spacing w:line="343" w:lineRule="auto" w:before="131"/>
        <w:ind w:left="816" w:right="486" w:firstLine="482"/>
        <w:jc w:val="both"/>
      </w:pPr>
      <w:r>
        <w:rPr/>
        <w:t>王老师首先举例说明启示类问题因该怎么分析和组织答案，她总结到启示类的题答题策略是：首先要对接知识——晓之以理，其次是要明确做法一一导之以行。尤其名言警句、寓言故事、真实案例等谈启示类题目，最后都要落实到最后的行动上。二是如何做建议做法类的题。王老师首先以 2019 年北京西城区一模的一道题“至少从两个角度写一份拯救绿孔雀的建议书”为例，讲解了建议做法类的题具体应该怎么做，他强调建议类的题要从多角度多方面思考，建议措施一定要有针对性和可行性。提建议也要按照是什么，为什么、怎么做来回答，注意生活逻辑和思维逻辑的运用。</w:t>
      </w:r>
    </w:p>
    <w:p>
      <w:pPr>
        <w:pStyle w:val="BodyText"/>
        <w:spacing w:before="3"/>
        <w:ind w:left="1299"/>
      </w:pPr>
      <w:r>
        <w:rPr/>
        <w:t>（二）如何复习“我与国家和社会”板块知识</w:t>
      </w:r>
    </w:p>
    <w:p>
      <w:pPr>
        <w:pStyle w:val="BodyText"/>
        <w:spacing w:line="345" w:lineRule="auto" w:before="132"/>
        <w:ind w:left="816" w:right="538" w:firstLine="482"/>
      </w:pPr>
      <w:r>
        <w:rPr/>
        <w:t>首先她介绍了三种复习方法，一是做好两张图，即做好整体逻辑结构图和做好具体知识要点图。二是梳理思路线，梳理分析解决实际问题的思路线，通过理论联</w:t>
      </w:r>
    </w:p>
    <w:p>
      <w:pPr>
        <w:spacing w:after="0" w:line="345" w:lineRule="auto"/>
        <w:sectPr>
          <w:footerReference w:type="default" r:id="rId18"/>
          <w:pgSz w:w="11900" w:h="16840"/>
          <w:pgMar w:footer="655" w:header="0" w:top="1400" w:bottom="840" w:left="700" w:right="1200"/>
          <w:pgNumType w:start="10"/>
        </w:sectPr>
      </w:pPr>
    </w:p>
    <w:p>
      <w:pPr>
        <w:pStyle w:val="BodyText"/>
        <w:spacing w:line="343" w:lineRule="auto" w:before="52"/>
        <w:ind w:left="816" w:right="541"/>
        <w:jc w:val="both"/>
      </w:pPr>
      <w:r>
        <w:rPr/>
        <w:t>系实际，落实基础知识，促进能力提升。三是关注热点，关心国家大事，学会在真实情境中，提升分析和解决问题的能力，同时培养公民意识。她认为复习“我与国家和社会”板块知识主要从四方面进行，一是构建逻辑框架，二是整理和归纳核心问题，三是进行热点问题的链接，四是进行试卷分析。</w:t>
      </w:r>
    </w:p>
    <w:p>
      <w:pPr>
        <w:pStyle w:val="BodyText"/>
        <w:spacing w:before="1"/>
        <w:ind w:left="1299"/>
      </w:pPr>
      <w:r>
        <w:rPr/>
        <w:t>（三）考试要做到知己知彼。</w:t>
      </w:r>
    </w:p>
    <w:p>
      <w:pPr>
        <w:pStyle w:val="BodyText"/>
        <w:spacing w:line="343" w:lineRule="auto" w:before="134"/>
        <w:ind w:left="716" w:right="643" w:firstLine="480"/>
        <w:jc w:val="both"/>
      </w:pPr>
      <w:r>
        <w:rPr/>
        <w:t>知彼就要明确考试的方向。要明确考试的方向：知识为基础，能力为重、素养导向、价值引领。知彼就是要清楚分析自己，一定以旁观者的身份来审视自己的答案，不为成绩高低而喜悲，不忽略低级错误，不好的答题习惯比不会的知识点更难缠。知识可以补，习惯很难改，因此一定要好好分析自己，做到诊断准确。</w:t>
      </w:r>
    </w:p>
    <w:p>
      <w:pPr>
        <w:pStyle w:val="BodyText"/>
        <w:ind w:left="1196"/>
      </w:pPr>
      <w:r>
        <w:rPr/>
        <w:t>（四）中考总复习四点建议</w:t>
      </w:r>
    </w:p>
    <w:p>
      <w:pPr>
        <w:pStyle w:val="BodyText"/>
        <w:spacing w:line="345" w:lineRule="auto" w:before="132"/>
        <w:ind w:left="716" w:right="488" w:firstLine="480"/>
      </w:pPr>
      <w:r>
        <w:rPr/>
        <w:drawing>
          <wp:anchor distT="0" distB="0" distL="0" distR="0" allowOverlap="1" layoutInCell="1" locked="0" behindDoc="1" simplePos="0" relativeHeight="250439680">
            <wp:simplePos x="0" y="0"/>
            <wp:positionH relativeFrom="page">
              <wp:posOffset>899160</wp:posOffset>
            </wp:positionH>
            <wp:positionV relativeFrom="paragraph">
              <wp:posOffset>560196</wp:posOffset>
            </wp:positionV>
            <wp:extent cx="5455920" cy="2240279"/>
            <wp:effectExtent l="0" t="0" r="0" b="0"/>
            <wp:wrapNone/>
            <wp:docPr id="19" name="image13.jpeg"/>
            <wp:cNvGraphicFramePr>
              <a:graphicFrameLocks noChangeAspect="1"/>
            </wp:cNvGraphicFramePr>
            <a:graphic>
              <a:graphicData uri="http://schemas.openxmlformats.org/drawingml/2006/picture">
                <pic:pic>
                  <pic:nvPicPr>
                    <pic:cNvPr id="20" name="image13.jpeg"/>
                    <pic:cNvPicPr/>
                  </pic:nvPicPr>
                  <pic:blipFill>
                    <a:blip r:embed="rId20" cstate="print"/>
                    <a:stretch>
                      <a:fillRect/>
                    </a:stretch>
                  </pic:blipFill>
                  <pic:spPr>
                    <a:xfrm>
                      <a:off x="0" y="0"/>
                      <a:ext cx="5455920" cy="2240279"/>
                    </a:xfrm>
                    <a:prstGeom prst="rect">
                      <a:avLst/>
                    </a:prstGeom>
                  </pic:spPr>
                </pic:pic>
              </a:graphicData>
            </a:graphic>
          </wp:anchor>
        </w:drawing>
      </w:r>
      <w:r>
        <w:rPr/>
        <w:t>一是巩固基础知识。抓住一个中心，就是以课标为中心。两个基本点，就是核心知识点和易错点。二是构建学科体系；三是学会试题分析；四是做好热点评析。</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
        <w:rPr>
          <w:sz w:val="35"/>
        </w:rPr>
      </w:pPr>
    </w:p>
    <w:p>
      <w:pPr>
        <w:pStyle w:val="Heading3"/>
        <w:spacing w:line="343" w:lineRule="auto"/>
        <w:ind w:left="816" w:right="457" w:firstLine="482"/>
      </w:pPr>
      <w:r>
        <w:rPr/>
        <w:t>二、人大附中李文轩老师则围绕《道德与法治》课的主要考察部分“成长中的我”和“我与他人和集体”来讲解，主要讲了以下三方面内容：</w:t>
      </w:r>
    </w:p>
    <w:p>
      <w:pPr>
        <w:pStyle w:val="BodyText"/>
        <w:spacing w:before="2"/>
        <w:ind w:left="1342"/>
      </w:pPr>
      <w:r>
        <w:rPr/>
        <w:t>（一）“成长中的我”板块知识的讲解</w:t>
      </w:r>
    </w:p>
    <w:p>
      <w:pPr>
        <w:pStyle w:val="BodyText"/>
        <w:spacing w:line="343" w:lineRule="auto" w:before="132"/>
        <w:ind w:left="1056" w:right="486" w:firstLine="285"/>
        <w:jc w:val="both"/>
      </w:pPr>
      <w:r>
        <w:rPr/>
        <w:t>心中有提纲，做题才不慌，正所谓兵马未动，粮草先行。“成长中的我”这一板块内容，李老师分别从认识自我、自尊自强和心中有法三个层面，梳理了期中的核心考点，特别指出易错点是什么。内容涉及理解情绪的复杂多样，认识生命价值和人生价值，我国一些具体法律规定等。她对相关的典型例题进行了分析和讲解。</w:t>
      </w:r>
    </w:p>
    <w:p>
      <w:pPr>
        <w:pStyle w:val="BodyText"/>
        <w:spacing w:before="2"/>
        <w:ind w:left="1299"/>
      </w:pPr>
      <w:r>
        <w:rPr/>
        <w:t>（二）“我与他人和集体”板块知识串讲</w:t>
      </w:r>
    </w:p>
    <w:p>
      <w:pPr>
        <w:pStyle w:val="BodyText"/>
        <w:spacing w:line="343" w:lineRule="auto" w:before="131"/>
        <w:ind w:left="816" w:right="486" w:firstLine="482"/>
      </w:pPr>
      <w:r>
        <w:rPr/>
        <w:t>1、”我与他人和集体“这部分知识，李老师分别从交往与沟通——技巧，在集体中成长——道德，权利与义务——法律来讲解，她分别从核心知识、易错易混</w:t>
      </w:r>
    </w:p>
    <w:p>
      <w:pPr>
        <w:spacing w:after="0" w:line="343" w:lineRule="auto"/>
        <w:sectPr>
          <w:pgSz w:w="11900" w:h="16840"/>
          <w:pgMar w:header="0" w:footer="655" w:top="1500" w:bottom="920" w:left="700" w:right="1200"/>
        </w:sectPr>
      </w:pPr>
    </w:p>
    <w:p>
      <w:pPr>
        <w:pStyle w:val="BodyText"/>
        <w:spacing w:line="343" w:lineRule="auto" w:before="52"/>
        <w:ind w:left="816" w:right="488"/>
      </w:pPr>
      <w:r>
        <w:rPr/>
        <w:t>点、中考真题三方面入手讲解了如何复习该部分知识，要注意哪些重点知识，并具体分析了如何解答这部分的主观题。</w:t>
      </w:r>
    </w:p>
    <w:p>
      <w:pPr>
        <w:pStyle w:val="BodyText"/>
        <w:spacing w:before="2"/>
        <w:ind w:left="1342"/>
      </w:pPr>
      <w:r>
        <w:rPr/>
        <w:t>（三）如何做原因类的问题</w:t>
      </w:r>
    </w:p>
    <w:p>
      <w:pPr>
        <w:pStyle w:val="BodyText"/>
        <w:ind w:left="1534"/>
        <w:rPr>
          <w:sz w:val="20"/>
        </w:rPr>
      </w:pPr>
      <w:r>
        <w:rPr>
          <w:sz w:val="20"/>
        </w:rPr>
        <w:drawing>
          <wp:inline distT="0" distB="0" distL="0" distR="0">
            <wp:extent cx="5301002" cy="3050476"/>
            <wp:effectExtent l="0" t="0" r="0" b="0"/>
            <wp:docPr id="21" name="image14.jpeg"/>
            <wp:cNvGraphicFramePr>
              <a:graphicFrameLocks noChangeAspect="1"/>
            </wp:cNvGraphicFramePr>
            <a:graphic>
              <a:graphicData uri="http://schemas.openxmlformats.org/drawingml/2006/picture">
                <pic:pic>
                  <pic:nvPicPr>
                    <pic:cNvPr id="22" name="image14.jpeg"/>
                    <pic:cNvPicPr/>
                  </pic:nvPicPr>
                  <pic:blipFill>
                    <a:blip r:embed="rId21" cstate="print"/>
                    <a:stretch>
                      <a:fillRect/>
                    </a:stretch>
                  </pic:blipFill>
                  <pic:spPr>
                    <a:xfrm>
                      <a:off x="0" y="0"/>
                      <a:ext cx="5301002" cy="3050476"/>
                    </a:xfrm>
                    <a:prstGeom prst="rect">
                      <a:avLst/>
                    </a:prstGeom>
                  </pic:spPr>
                </pic:pic>
              </a:graphicData>
            </a:graphic>
          </wp:inline>
        </w:drawing>
      </w:r>
      <w:r>
        <w:rPr>
          <w:sz w:val="20"/>
        </w:rPr>
      </w:r>
    </w:p>
    <w:p>
      <w:pPr>
        <w:pStyle w:val="BodyText"/>
        <w:spacing w:line="343" w:lineRule="auto" w:before="158"/>
        <w:ind w:left="716" w:right="488" w:firstLine="480"/>
        <w:jc w:val="both"/>
      </w:pPr>
      <w:r>
        <w:rPr>
          <w:spacing w:val="-10"/>
        </w:rPr>
        <w:t>李老师以 </w:t>
      </w:r>
      <w:r>
        <w:rPr/>
        <w:t>2019</w:t>
      </w:r>
      <w:r>
        <w:rPr>
          <w:spacing w:val="-9"/>
        </w:rPr>
        <w:t> 年北京中考题为例，详细讲解原因类的问题应该如何去分析，并</w:t>
      </w:r>
      <w:r>
        <w:rPr/>
        <w:t>强调原因类试题应先审设问与材料，联系所学知识，从多角度作答。</w:t>
      </w:r>
    </w:p>
    <w:p>
      <w:pPr>
        <w:pStyle w:val="BodyText"/>
        <w:spacing w:line="343" w:lineRule="auto"/>
        <w:ind w:left="816" w:right="486" w:firstLine="482"/>
        <w:jc w:val="both"/>
      </w:pPr>
      <w:r>
        <w:rPr/>
        <w:t>听了两位老师的课，老师们纷纷发表了自己的看法，老师们一致认为自己受益匪浅，都反思了自己的复习课堂，相信通过此次集中学习，我们的复习课堂一定也会美丽绽放！</w:t>
      </w:r>
    </w:p>
    <w:p>
      <w:pPr>
        <w:spacing w:after="0" w:line="343" w:lineRule="auto"/>
        <w:jc w:val="both"/>
        <w:sectPr>
          <w:pgSz w:w="11900" w:h="16840"/>
          <w:pgMar w:header="0" w:footer="655" w:top="1500" w:bottom="920" w:left="700" w:right="1200"/>
        </w:sectPr>
      </w:pPr>
    </w:p>
    <w:p>
      <w:pPr>
        <w:pStyle w:val="BodyText"/>
        <w:spacing w:before="8"/>
        <w:rPr>
          <w:sz w:val="2"/>
        </w:rPr>
      </w:pPr>
    </w:p>
    <w:p>
      <w:pPr>
        <w:pStyle w:val="BodyText"/>
        <w:ind w:left="860"/>
        <w:rPr>
          <w:sz w:val="20"/>
        </w:rPr>
      </w:pPr>
      <w:r>
        <w:rPr>
          <w:sz w:val="20"/>
        </w:rPr>
        <w:pict>
          <v:group style="width:137.2pt;height:62.9pt;mso-position-horizontal-relative:char;mso-position-vertical-relative:line" coordorigin="0,0" coordsize="2744,1258">
            <v:shape style="position:absolute;left:0;top:0;width:2744;height:1258" type="#_x0000_t75" stroked="false">
              <v:imagedata r:id="rId10" o:title=""/>
            </v:shape>
            <v:shape style="position:absolute;left:0;top:0;width:2744;height:1258" type="#_x0000_t202" filled="false" stroked="false">
              <v:textbox inset="0,0,0,0">
                <w:txbxContent>
                  <w:p>
                    <w:pPr>
                      <w:spacing w:before="324"/>
                      <w:ind w:left="436" w:right="0" w:firstLine="0"/>
                      <w:jc w:val="left"/>
                      <w:rPr>
                        <w:rFonts w:ascii="黑体" w:eastAsia="黑体" w:hint="eastAsia"/>
                        <w:b/>
                        <w:sz w:val="44"/>
                      </w:rPr>
                    </w:pPr>
                    <w:r>
                      <w:rPr>
                        <w:rFonts w:ascii="黑体" w:eastAsia="黑体" w:hint="eastAsia"/>
                        <w:b/>
                        <w:sz w:val="44"/>
                      </w:rPr>
                      <w:t>课例研究</w:t>
                    </w:r>
                  </w:p>
                </w:txbxContent>
              </v:textbox>
              <w10:wrap type="none"/>
            </v:shape>
          </v:group>
        </w:pict>
      </w:r>
      <w:r>
        <w:rPr>
          <w:sz w:val="20"/>
        </w:rPr>
      </w:r>
    </w:p>
    <w:p>
      <w:pPr>
        <w:pStyle w:val="BodyText"/>
        <w:spacing w:before="7"/>
        <w:rPr>
          <w:sz w:val="8"/>
        </w:rPr>
      </w:pPr>
    </w:p>
    <w:p>
      <w:pPr>
        <w:pStyle w:val="Heading1"/>
        <w:ind w:left="52"/>
        <w:rPr>
          <w:rFonts w:ascii="微软雅黑" w:eastAsia="微软雅黑" w:hint="eastAsia"/>
        </w:rPr>
      </w:pPr>
      <w:bookmarkStart w:name="综合探究：践行社会责任 促进社会进步 " w:id="6"/>
      <w:bookmarkEnd w:id="6"/>
      <w:r>
        <w:rPr>
          <w:b w:val="0"/>
        </w:rPr>
      </w:r>
      <w:r>
        <w:rPr>
          <w:rFonts w:ascii="微软雅黑" w:eastAsia="微软雅黑" w:hint="eastAsia"/>
        </w:rPr>
        <w:t>综合探究：践行社会责任 促进社会进步</w:t>
      </w:r>
    </w:p>
    <w:p>
      <w:pPr>
        <w:pStyle w:val="Heading2"/>
        <w:spacing w:before="192"/>
        <w:ind w:left="3380"/>
      </w:pPr>
      <w:bookmarkStart w:name="——“弘扬工匠精神与投身创新创业”教学设计" w:id="7"/>
      <w:bookmarkEnd w:id="7"/>
      <w:r>
        <w:rPr/>
      </w:r>
      <w:r>
        <w:rPr>
          <w:color w:val="333333"/>
        </w:rPr>
        <w:t>——“弘扬工匠精神与投身创新创业”教学设计</w:t>
      </w:r>
    </w:p>
    <w:p>
      <w:pPr>
        <w:spacing w:before="198"/>
        <w:ind w:left="4877" w:right="0" w:firstLine="0"/>
        <w:jc w:val="left"/>
        <w:rPr>
          <w:rFonts w:ascii="微软雅黑" w:eastAsia="微软雅黑" w:hint="eastAsia"/>
          <w:sz w:val="21"/>
        </w:rPr>
      </w:pPr>
      <w:r>
        <w:rPr>
          <w:rFonts w:ascii="微软雅黑" w:eastAsia="微软雅黑" w:hint="eastAsia"/>
          <w:color w:val="3D3D3D"/>
          <w:sz w:val="21"/>
        </w:rPr>
        <w:t>金依平</w:t>
      </w:r>
    </w:p>
    <w:p>
      <w:pPr>
        <w:spacing w:line="336" w:lineRule="auto" w:before="153"/>
        <w:ind w:left="716" w:right="723" w:firstLine="528"/>
        <w:jc w:val="left"/>
        <w:rPr>
          <w:rFonts w:ascii="微软雅黑" w:hAnsi="微软雅黑" w:eastAsia="微软雅黑" w:hint="eastAsia"/>
          <w:sz w:val="21"/>
        </w:rPr>
      </w:pPr>
      <w:r>
        <w:rPr>
          <w:rFonts w:ascii="微软雅黑" w:hAnsi="微软雅黑" w:eastAsia="微软雅黑" w:hint="eastAsia"/>
          <w:color w:val="3D3D3D"/>
          <w:w w:val="95"/>
          <w:sz w:val="21"/>
        </w:rPr>
        <w:t>此为金依平老师在统编高中《思想政治》教科书试教试用工作中的教学设计案  </w:t>
      </w:r>
      <w:r>
        <w:rPr>
          <w:rFonts w:ascii="微软雅黑" w:hAnsi="微软雅黑" w:eastAsia="微软雅黑" w:hint="eastAsia"/>
          <w:color w:val="3D3D3D"/>
          <w:sz w:val="21"/>
        </w:rPr>
        <w:t>例， 已选入《指向学科核心素养的普通高中课堂教学设计案例丛书· 思想政治》。</w:t>
      </w:r>
    </w:p>
    <w:p>
      <w:pPr>
        <w:pStyle w:val="BodyText"/>
        <w:spacing w:before="16"/>
        <w:rPr>
          <w:rFonts w:ascii="微软雅黑"/>
          <w:sz w:val="25"/>
        </w:rPr>
      </w:pPr>
    </w:p>
    <w:p>
      <w:pPr>
        <w:pStyle w:val="Heading3"/>
        <w:numPr>
          <w:ilvl w:val="0"/>
          <w:numId w:val="1"/>
        </w:numPr>
        <w:tabs>
          <w:tab w:pos="955" w:val="left" w:leader="none"/>
          <w:tab w:pos="4756" w:val="left" w:leader="none"/>
        </w:tabs>
        <w:spacing w:line="240" w:lineRule="auto" w:before="1" w:after="0"/>
        <w:ind w:left="4755" w:right="0" w:hanging="4284"/>
        <w:jc w:val="left"/>
      </w:pPr>
      <w:r>
        <w:rPr/>
        <w:t>教学内容分析</w:t>
      </w:r>
    </w:p>
    <w:p>
      <w:pPr>
        <w:spacing w:before="159"/>
        <w:ind w:left="716" w:right="0" w:firstLine="0"/>
        <w:jc w:val="left"/>
        <w:rPr>
          <w:rFonts w:ascii="黑体" w:eastAsia="黑体" w:hint="eastAsia"/>
          <w:sz w:val="28"/>
        </w:rPr>
      </w:pPr>
      <w:r>
        <w:rPr>
          <w:position w:val="2"/>
        </w:rPr>
        <w:drawing>
          <wp:inline distT="0" distB="0" distL="0" distR="0">
            <wp:extent cx="413003" cy="237744"/>
            <wp:effectExtent l="0" t="0" r="0" b="0"/>
            <wp:docPr id="23" name="image15.jpeg"/>
            <wp:cNvGraphicFramePr>
              <a:graphicFrameLocks noChangeAspect="1"/>
            </wp:cNvGraphicFramePr>
            <a:graphic>
              <a:graphicData uri="http://schemas.openxmlformats.org/drawingml/2006/picture">
                <pic:pic>
                  <pic:nvPicPr>
                    <pic:cNvPr id="24" name="image15.jpeg"/>
                    <pic:cNvPicPr/>
                  </pic:nvPicPr>
                  <pic:blipFill>
                    <a:blip r:embed="rId22" cstate="print"/>
                    <a:stretch>
                      <a:fillRect/>
                    </a:stretch>
                  </pic:blipFill>
                  <pic:spPr>
                    <a:xfrm>
                      <a:off x="0" y="0"/>
                      <a:ext cx="413003" cy="237744"/>
                    </a:xfrm>
                    <a:prstGeom prst="rect">
                      <a:avLst/>
                    </a:prstGeom>
                  </pic:spPr>
                </pic:pic>
              </a:graphicData>
            </a:graphic>
          </wp:inline>
        </w:drawing>
      </w:r>
      <w:r>
        <w:rPr>
          <w:position w:val="2"/>
        </w:rPr>
      </w:r>
      <w:r>
        <w:rPr>
          <w:rFonts w:ascii="黑体" w:eastAsia="黑体" w:hint="eastAsia"/>
          <w:spacing w:val="-2"/>
          <w:sz w:val="28"/>
        </w:rPr>
        <w:t>课标要求</w:t>
      </w:r>
    </w:p>
    <w:p>
      <w:pPr>
        <w:spacing w:before="184"/>
        <w:ind w:left="1241" w:right="0" w:firstLine="0"/>
        <w:jc w:val="left"/>
        <w:rPr>
          <w:sz w:val="21"/>
        </w:rPr>
      </w:pPr>
      <w:r>
        <w:rPr>
          <w:sz w:val="21"/>
        </w:rPr>
        <w:t>2.1 评析经济发展中践行社会责任的实例。</w:t>
      </w:r>
    </w:p>
    <w:p>
      <w:pPr>
        <w:pStyle w:val="Heading2"/>
        <w:spacing w:before="139"/>
      </w:pPr>
      <w:r>
        <w:rPr>
          <w:position w:val="2"/>
        </w:rPr>
        <w:drawing>
          <wp:inline distT="0" distB="0" distL="0" distR="0">
            <wp:extent cx="413003" cy="237743"/>
            <wp:effectExtent l="0" t="0" r="0" b="0"/>
            <wp:docPr id="25" name="image15.jpeg"/>
            <wp:cNvGraphicFramePr>
              <a:graphicFrameLocks noChangeAspect="1"/>
            </wp:cNvGraphicFramePr>
            <a:graphic>
              <a:graphicData uri="http://schemas.openxmlformats.org/drawingml/2006/picture">
                <pic:pic>
                  <pic:nvPicPr>
                    <pic:cNvPr id="26" name="image15.jpeg"/>
                    <pic:cNvPicPr/>
                  </pic:nvPicPr>
                  <pic:blipFill>
                    <a:blip r:embed="rId22" cstate="print"/>
                    <a:stretch>
                      <a:fillRect/>
                    </a:stretch>
                  </pic:blipFill>
                  <pic:spPr>
                    <a:xfrm>
                      <a:off x="0" y="0"/>
                      <a:ext cx="413003" cy="237743"/>
                    </a:xfrm>
                    <a:prstGeom prst="rect">
                      <a:avLst/>
                    </a:prstGeom>
                  </pic:spPr>
                </pic:pic>
              </a:graphicData>
            </a:graphic>
          </wp:inline>
        </w:drawing>
      </w:r>
      <w:r>
        <w:rPr>
          <w:position w:val="2"/>
        </w:rPr>
      </w:r>
      <w:r>
        <w:rPr>
          <w:spacing w:val="-2"/>
        </w:rPr>
        <w:t>教材分析</w:t>
      </w:r>
    </w:p>
    <w:p>
      <w:pPr>
        <w:spacing w:before="184"/>
        <w:ind w:left="1136" w:right="0" w:firstLine="0"/>
        <w:jc w:val="both"/>
        <w:rPr>
          <w:sz w:val="21"/>
        </w:rPr>
      </w:pPr>
      <w:r>
        <w:rPr>
          <w:sz w:val="21"/>
        </w:rPr>
        <w:t>本课是高中思想政治必修模块 2“经济与社会”主题 2“经济发展与社会进步”中的综合探</w:t>
      </w:r>
    </w:p>
    <w:p>
      <w:pPr>
        <w:spacing w:line="364" w:lineRule="auto" w:before="139"/>
        <w:ind w:left="716" w:right="253" w:firstLine="0"/>
        <w:jc w:val="both"/>
        <w:rPr>
          <w:sz w:val="21"/>
        </w:rPr>
      </w:pPr>
      <w:r>
        <w:rPr>
          <w:w w:val="95"/>
          <w:sz w:val="21"/>
        </w:rPr>
        <w:t>究，内容涉及“弘扬工匠精神与投身创新创业”“如何推动绿色生产与绿色生活”“如何推动家乡   实现共同富裕”。中国航天科技集团有限公司第一研究院首都航天机械有限公司特种熔融焊接工高   凤林认为，工匠精神主要包括三个方面：第一，从思想层面的爱岗敬业、无私奉献。第二，从行为   方面，持续专注，开拓进取。第三，工匠精神的核心，叫精益求精，追求极致。这对个人成长、创   新创业、绿色生产生活、共同富裕、强国制造、经济社会进步等方面意义非凡。重点要突破“工匠   精神”的基本内涵，从具体的“工匠精神”上升到一般的“工匠精神”，使“工匠精神”成为一种   </w:t>
      </w:r>
      <w:r>
        <w:rPr>
          <w:sz w:val="21"/>
        </w:rPr>
        <w:t>世界观和方法论。</w:t>
      </w:r>
    </w:p>
    <w:p>
      <w:pPr>
        <w:pStyle w:val="Heading2"/>
        <w:spacing w:line="464" w:lineRule="exact"/>
      </w:pPr>
      <w:r>
        <w:rPr>
          <w:position w:val="2"/>
        </w:rPr>
        <w:drawing>
          <wp:inline distT="0" distB="0" distL="0" distR="0">
            <wp:extent cx="413003" cy="237744"/>
            <wp:effectExtent l="0" t="0" r="0" b="0"/>
            <wp:docPr id="27" name="image15.jpeg"/>
            <wp:cNvGraphicFramePr>
              <a:graphicFrameLocks noChangeAspect="1"/>
            </wp:cNvGraphicFramePr>
            <a:graphic>
              <a:graphicData uri="http://schemas.openxmlformats.org/drawingml/2006/picture">
                <pic:pic>
                  <pic:nvPicPr>
                    <pic:cNvPr id="28" name="image15.jpeg"/>
                    <pic:cNvPicPr/>
                  </pic:nvPicPr>
                  <pic:blipFill>
                    <a:blip r:embed="rId22" cstate="print"/>
                    <a:stretch>
                      <a:fillRect/>
                    </a:stretch>
                  </pic:blipFill>
                  <pic:spPr>
                    <a:xfrm>
                      <a:off x="0" y="0"/>
                      <a:ext cx="413003" cy="237744"/>
                    </a:xfrm>
                    <a:prstGeom prst="rect">
                      <a:avLst/>
                    </a:prstGeom>
                  </pic:spPr>
                </pic:pic>
              </a:graphicData>
            </a:graphic>
          </wp:inline>
        </w:drawing>
      </w:r>
      <w:r>
        <w:rPr>
          <w:position w:val="2"/>
        </w:rPr>
      </w:r>
      <w:r>
        <w:rPr>
          <w:spacing w:val="-2"/>
        </w:rPr>
        <w:t>学情分析</w:t>
      </w:r>
    </w:p>
    <w:p>
      <w:pPr>
        <w:spacing w:line="364" w:lineRule="auto" w:before="187"/>
        <w:ind w:left="716" w:right="253" w:firstLine="420"/>
        <w:jc w:val="left"/>
        <w:rPr>
          <w:sz w:val="21"/>
        </w:rPr>
      </w:pPr>
      <w:r>
        <w:rPr>
          <w:w w:val="95"/>
          <w:sz w:val="21"/>
        </w:rPr>
        <w:t>高中阶段是学生个性形成、自主发展的关键时期，对培养担当民族复兴大任的时代新人，具有   特殊意义。普通高中课程是实现高中阶段育人目标的重要载体，体现着国家意志，在落实立德树人   根本任务上发挥着关键作用。对于“工匠精神”这个话题，学生并不陌生。但部分学生仅从狭义工   </w:t>
      </w:r>
      <w:r>
        <w:rPr>
          <w:spacing w:val="-1"/>
          <w:sz w:val="21"/>
        </w:rPr>
        <w:t>匠理解，或大部分学生能从国家、民族、企业等角度来谈“工匠精神”， 但很少有联系自身成长</w:t>
      </w:r>
      <w:r>
        <w:rPr>
          <w:spacing w:val="-1"/>
          <w:w w:val="95"/>
          <w:sz w:val="21"/>
        </w:rPr>
        <w:t>角度来理解。一些高中生存在“缺乏理想、信念和人生目标，没有执着的钻研精神，责任感不强，   抗压力和抗挫力能力差，意志力薄弱，不善沟通合作等”的现象。通过课堂，让学生明白“工匠精</w:t>
      </w:r>
    </w:p>
    <w:p>
      <w:pPr>
        <w:spacing w:after="0" w:line="364" w:lineRule="auto"/>
        <w:jc w:val="left"/>
        <w:rPr>
          <w:sz w:val="21"/>
        </w:rPr>
        <w:sectPr>
          <w:pgSz w:w="11900" w:h="16840"/>
          <w:pgMar w:header="0" w:footer="655" w:top="1580" w:bottom="920" w:left="700" w:right="1200"/>
        </w:sectPr>
      </w:pPr>
    </w:p>
    <w:p>
      <w:pPr>
        <w:spacing w:line="364" w:lineRule="auto" w:before="42"/>
        <w:ind w:left="716" w:right="253" w:firstLine="0"/>
        <w:jc w:val="left"/>
        <w:rPr>
          <w:sz w:val="21"/>
        </w:rPr>
      </w:pPr>
      <w:r>
        <w:rPr>
          <w:w w:val="95"/>
          <w:sz w:val="21"/>
        </w:rPr>
        <w:t>神”不但有利于国家繁荣、民族复兴、企业发展，而且有利于培育积极的人生态度、正确的价值取   </w:t>
      </w:r>
      <w:r>
        <w:rPr>
          <w:sz w:val="21"/>
        </w:rPr>
        <w:t>向、健全人格。“工匠精神”是影响学生终身发展的必备品格和关键能力的有机组成部分。</w:t>
      </w:r>
    </w:p>
    <w:p>
      <w:pPr>
        <w:pStyle w:val="BodyText"/>
        <w:rPr>
          <w:sz w:val="20"/>
        </w:rPr>
      </w:pPr>
    </w:p>
    <w:p>
      <w:pPr>
        <w:pStyle w:val="Heading3"/>
        <w:numPr>
          <w:ilvl w:val="0"/>
          <w:numId w:val="1"/>
        </w:numPr>
        <w:tabs>
          <w:tab w:pos="4756" w:val="left" w:leader="none"/>
        </w:tabs>
        <w:spacing w:line="240" w:lineRule="auto" w:before="153" w:after="0"/>
        <w:ind w:left="4755" w:right="0" w:hanging="484"/>
        <w:jc w:val="both"/>
      </w:pPr>
      <w:r>
        <w:rPr/>
        <w:t>教学目标陈述</w:t>
      </w:r>
    </w:p>
    <w:p>
      <w:pPr>
        <w:pStyle w:val="ListParagraph"/>
        <w:numPr>
          <w:ilvl w:val="0"/>
          <w:numId w:val="2"/>
        </w:numPr>
        <w:tabs>
          <w:tab w:pos="1348" w:val="left" w:leader="none"/>
        </w:tabs>
        <w:spacing w:line="364" w:lineRule="auto" w:before="157" w:after="0"/>
        <w:ind w:left="716" w:right="253" w:firstLine="420"/>
        <w:jc w:val="both"/>
        <w:rPr>
          <w:sz w:val="21"/>
        </w:rPr>
      </w:pPr>
      <w:r>
        <w:rPr>
          <w:w w:val="95"/>
          <w:sz w:val="21"/>
        </w:rPr>
        <w:t>结合实例，理解“工匠精神”与社会主义核心价值观本质是一致的。联系“工匠”身上的优   秀品格来理解“爱国、敬业、诚信、友善”的价值准则对已、对社会、对国家的重要性，明确社会   主义核心价值观不但是公民最基本的价值标准，而且是当代中国精神的集中体现，凝结着全体人民   共同的价值追求。通过弘扬“工匠精神”，展示中国精神，凝聚中国力量，引导学生树立强烈的爱   </w:t>
      </w:r>
      <w:r>
        <w:rPr>
          <w:sz w:val="21"/>
        </w:rPr>
        <w:t>国情怀、国家意识和公民意识，自觉践行社会主义核心价值观，提升政治认同素养。</w:t>
      </w:r>
    </w:p>
    <w:p>
      <w:pPr>
        <w:pStyle w:val="ListParagraph"/>
        <w:numPr>
          <w:ilvl w:val="0"/>
          <w:numId w:val="2"/>
        </w:numPr>
        <w:tabs>
          <w:tab w:pos="1244" w:val="left" w:leader="none"/>
        </w:tabs>
        <w:spacing w:line="364" w:lineRule="auto" w:before="0" w:after="0"/>
        <w:ind w:left="716" w:right="253" w:firstLine="316"/>
        <w:jc w:val="left"/>
        <w:rPr>
          <w:sz w:val="21"/>
        </w:rPr>
      </w:pPr>
      <w:r>
        <w:rPr>
          <w:sz w:val="21"/>
        </w:rPr>
        <w:t>通过探究“工匠精神”，让学生感悟智慧人生的自我负责精神和自我管理能力，懂得价值判</w:t>
      </w:r>
      <w:r>
        <w:rPr>
          <w:w w:val="95"/>
          <w:sz w:val="21"/>
        </w:rPr>
        <w:t>断和行为选择对人生价值实现的关键性，理解追求美好生活、向往美好社会的精神品质是人生不断   前行的力量源泉，明白工匠们的自主自律、求真务实、锐意进取、敢于担当对于个人成长、社会进   </w:t>
      </w:r>
      <w:r>
        <w:rPr>
          <w:sz w:val="21"/>
        </w:rPr>
        <w:t>步、国家发展的重要性，从而培养学生辩证思维能力，发展学生的科学精神素养。</w:t>
      </w:r>
    </w:p>
    <w:p>
      <w:pPr>
        <w:pStyle w:val="BodyText"/>
        <w:rPr>
          <w:sz w:val="20"/>
        </w:rPr>
      </w:pPr>
    </w:p>
    <w:p>
      <w:pPr>
        <w:pStyle w:val="BodyText"/>
        <w:spacing w:before="4"/>
        <w:rPr>
          <w:sz w:val="16"/>
        </w:rPr>
      </w:pPr>
    </w:p>
    <w:p>
      <w:pPr>
        <w:pStyle w:val="Heading3"/>
        <w:numPr>
          <w:ilvl w:val="0"/>
          <w:numId w:val="1"/>
        </w:numPr>
        <w:tabs>
          <w:tab w:pos="4756" w:val="left" w:leader="none"/>
        </w:tabs>
        <w:spacing w:line="240" w:lineRule="auto" w:before="0" w:after="0"/>
        <w:ind w:left="4755" w:right="0" w:hanging="484"/>
        <w:jc w:val="both"/>
      </w:pPr>
      <w:r>
        <w:rPr/>
        <w:t>教学过程设计</w:t>
      </w:r>
    </w:p>
    <w:p>
      <w:pPr>
        <w:spacing w:before="157"/>
        <w:ind w:left="716" w:right="0" w:firstLine="0"/>
        <w:jc w:val="left"/>
        <w:rPr>
          <w:sz w:val="21"/>
        </w:rPr>
      </w:pPr>
      <w:r>
        <w:rPr>
          <w:position w:val="2"/>
        </w:rPr>
        <w:drawing>
          <wp:inline distT="0" distB="0" distL="0" distR="0">
            <wp:extent cx="413003" cy="237743"/>
            <wp:effectExtent l="0" t="0" r="0" b="0"/>
            <wp:docPr id="29" name="image15.jpeg"/>
            <wp:cNvGraphicFramePr>
              <a:graphicFrameLocks noChangeAspect="1"/>
            </wp:cNvGraphicFramePr>
            <a:graphic>
              <a:graphicData uri="http://schemas.openxmlformats.org/drawingml/2006/picture">
                <pic:pic>
                  <pic:nvPicPr>
                    <pic:cNvPr id="30" name="image15.jpeg"/>
                    <pic:cNvPicPr/>
                  </pic:nvPicPr>
                  <pic:blipFill>
                    <a:blip r:embed="rId22" cstate="print"/>
                    <a:stretch>
                      <a:fillRect/>
                    </a:stretch>
                  </pic:blipFill>
                  <pic:spPr>
                    <a:xfrm>
                      <a:off x="0" y="0"/>
                      <a:ext cx="413003" cy="237743"/>
                    </a:xfrm>
                    <a:prstGeom prst="rect">
                      <a:avLst/>
                    </a:prstGeom>
                  </pic:spPr>
                </pic:pic>
              </a:graphicData>
            </a:graphic>
          </wp:inline>
        </w:drawing>
      </w:r>
      <w:r>
        <w:rPr>
          <w:position w:val="2"/>
        </w:rPr>
      </w:r>
      <w:r>
        <w:rPr>
          <w:sz w:val="21"/>
        </w:rPr>
        <w:t>中心议题</w:t>
      </w:r>
    </w:p>
    <w:p>
      <w:pPr>
        <w:spacing w:line="364" w:lineRule="auto" w:before="139"/>
        <w:ind w:left="716" w:right="5504" w:firstLine="840"/>
        <w:jc w:val="left"/>
        <w:rPr>
          <w:sz w:val="21"/>
        </w:rPr>
      </w:pPr>
      <w:r>
        <w:rPr>
          <w:spacing w:val="-1"/>
          <w:w w:val="95"/>
          <w:sz w:val="21"/>
        </w:rPr>
        <w:t>今天我们需要“工匠精神”吗？ </w:t>
      </w:r>
      <w:r>
        <w:rPr>
          <w:spacing w:val="-1"/>
          <w:w w:val="95"/>
          <w:position w:val="2"/>
          <w:sz w:val="21"/>
        </w:rPr>
        <w:drawing>
          <wp:inline distT="0" distB="0" distL="0" distR="0">
            <wp:extent cx="413003" cy="193548"/>
            <wp:effectExtent l="0" t="0" r="0" b="0"/>
            <wp:docPr id="31" name="image15.jpeg"/>
            <wp:cNvGraphicFramePr>
              <a:graphicFrameLocks noChangeAspect="1"/>
            </wp:cNvGraphicFramePr>
            <a:graphic>
              <a:graphicData uri="http://schemas.openxmlformats.org/drawingml/2006/picture">
                <pic:pic>
                  <pic:nvPicPr>
                    <pic:cNvPr id="32" name="image15.jpeg"/>
                    <pic:cNvPicPr/>
                  </pic:nvPicPr>
                  <pic:blipFill>
                    <a:blip r:embed="rId22" cstate="print"/>
                    <a:stretch>
                      <a:fillRect/>
                    </a:stretch>
                  </pic:blipFill>
                  <pic:spPr>
                    <a:xfrm>
                      <a:off x="0" y="0"/>
                      <a:ext cx="413003" cy="193548"/>
                    </a:xfrm>
                    <a:prstGeom prst="rect">
                      <a:avLst/>
                    </a:prstGeom>
                  </pic:spPr>
                </pic:pic>
              </a:graphicData>
            </a:graphic>
          </wp:inline>
        </w:drawing>
      </w:r>
      <w:r>
        <w:rPr>
          <w:spacing w:val="-1"/>
          <w:w w:val="95"/>
          <w:position w:val="2"/>
          <w:sz w:val="21"/>
        </w:rPr>
      </w:r>
      <w:r>
        <w:rPr>
          <w:sz w:val="21"/>
        </w:rPr>
        <w:t>总体设计思路</w:t>
      </w:r>
    </w:p>
    <w:p>
      <w:pPr>
        <w:spacing w:line="249" w:lineRule="exact" w:before="0"/>
        <w:ind w:left="1556" w:right="0" w:firstLine="0"/>
        <w:jc w:val="left"/>
        <w:rPr>
          <w:sz w:val="21"/>
        </w:rPr>
      </w:pPr>
      <w:r>
        <w:rPr>
          <w:sz w:val="21"/>
        </w:rPr>
        <w:t>遵循“课程内容活动化”“活动内容课程化”，把学习过程设计为包含六个环节的活动型</w:t>
      </w:r>
    </w:p>
    <w:p>
      <w:pPr>
        <w:spacing w:line="364" w:lineRule="auto" w:before="139"/>
        <w:ind w:left="716" w:right="254" w:firstLine="0"/>
        <w:jc w:val="left"/>
        <w:rPr>
          <w:sz w:val="21"/>
        </w:rPr>
      </w:pPr>
      <w:r>
        <w:rPr>
          <w:w w:val="95"/>
          <w:sz w:val="21"/>
        </w:rPr>
        <w:t>教学，每个活动都有明确任务指向。课前准备：布置话题寻找心目中的工匠，让学生对“工匠”有   一个直接、感性的认识；小组交流：感悟工匠身上的闪光点，确定使人感动的关键词；班级展示：   小组代表发言，课堂交流分享；探究提升：找出工匠们的共同点，形成“工匠精神”的基本内涵；   研讨深化：“工匠精神”利国利民利己；反思升华：学生联系现实和未来，谈“工匠精神”对自己   </w:t>
      </w:r>
      <w:r>
        <w:rPr>
          <w:sz w:val="21"/>
        </w:rPr>
        <w:t>成长的意义。整个学习过程充分发挥学生的主体意识，学生在自主、合作、探究中学会分享、质 疑、沟通、协调，提高认知水平和求知能力的同时，也培养了政治认同和科学精神。</w:t>
      </w:r>
    </w:p>
    <w:p>
      <w:pPr>
        <w:spacing w:line="446" w:lineRule="exact" w:before="0"/>
        <w:ind w:left="716" w:right="0" w:firstLine="0"/>
        <w:jc w:val="left"/>
        <w:rPr>
          <w:sz w:val="21"/>
        </w:rPr>
      </w:pPr>
      <w:r>
        <w:rPr>
          <w:position w:val="2"/>
        </w:rPr>
        <w:drawing>
          <wp:inline distT="0" distB="0" distL="0" distR="0">
            <wp:extent cx="413003" cy="237744"/>
            <wp:effectExtent l="0" t="0" r="0" b="0"/>
            <wp:docPr id="33" name="image15.jpeg"/>
            <wp:cNvGraphicFramePr>
              <a:graphicFrameLocks noChangeAspect="1"/>
            </wp:cNvGraphicFramePr>
            <a:graphic>
              <a:graphicData uri="http://schemas.openxmlformats.org/drawingml/2006/picture">
                <pic:pic>
                  <pic:nvPicPr>
                    <pic:cNvPr id="34" name="image15.jpeg"/>
                    <pic:cNvPicPr/>
                  </pic:nvPicPr>
                  <pic:blipFill>
                    <a:blip r:embed="rId22" cstate="print"/>
                    <a:stretch>
                      <a:fillRect/>
                    </a:stretch>
                  </pic:blipFill>
                  <pic:spPr>
                    <a:xfrm>
                      <a:off x="0" y="0"/>
                      <a:ext cx="413003" cy="237744"/>
                    </a:xfrm>
                    <a:prstGeom prst="rect">
                      <a:avLst/>
                    </a:prstGeom>
                  </pic:spPr>
                </pic:pic>
              </a:graphicData>
            </a:graphic>
          </wp:inline>
        </w:drawing>
      </w:r>
      <w:r>
        <w:rPr>
          <w:position w:val="2"/>
        </w:rPr>
      </w:r>
      <w:r>
        <w:rPr>
          <w:sz w:val="21"/>
        </w:rPr>
        <w:t>学教活动展开</w:t>
      </w:r>
    </w:p>
    <w:p>
      <w:pPr>
        <w:pStyle w:val="BodyText"/>
        <w:spacing w:before="10"/>
        <w:rPr>
          <w:sz w:val="10"/>
        </w:rPr>
      </w:pPr>
    </w:p>
    <w:tbl>
      <w:tblPr>
        <w:tblW w:w="0" w:type="auto"/>
        <w:jc w:val="left"/>
        <w:tblInd w:w="652" w:type="dxa"/>
        <w:tblBorders>
          <w:top w:val="single" w:sz="8" w:space="0" w:color="F79546"/>
          <w:left w:val="single" w:sz="8" w:space="0" w:color="F79546"/>
          <w:bottom w:val="single" w:sz="8" w:space="0" w:color="F79546"/>
          <w:right w:val="single" w:sz="8" w:space="0" w:color="F79546"/>
          <w:insideH w:val="single" w:sz="8" w:space="0" w:color="F79546"/>
          <w:insideV w:val="single" w:sz="8" w:space="0" w:color="F79546"/>
        </w:tblBorders>
        <w:tblLayout w:type="fixed"/>
        <w:tblCellMar>
          <w:top w:w="0" w:type="dxa"/>
          <w:left w:w="0" w:type="dxa"/>
          <w:bottom w:w="0" w:type="dxa"/>
          <w:right w:w="0" w:type="dxa"/>
        </w:tblCellMar>
        <w:tblLook w:val="01E0"/>
      </w:tblPr>
      <w:tblGrid>
        <w:gridCol w:w="875"/>
        <w:gridCol w:w="774"/>
        <w:gridCol w:w="7167"/>
      </w:tblGrid>
      <w:tr>
        <w:trPr>
          <w:trHeight w:val="474" w:hRule="atLeast"/>
        </w:trPr>
        <w:tc>
          <w:tcPr>
            <w:tcW w:w="875" w:type="dxa"/>
            <w:tcBorders>
              <w:top w:val="nil"/>
              <w:left w:val="nil"/>
              <w:bottom w:val="nil"/>
              <w:right w:val="dotted" w:sz="8" w:space="0" w:color="6C6C6C"/>
            </w:tcBorders>
            <w:shd w:val="clear" w:color="auto" w:fill="F79546"/>
          </w:tcPr>
          <w:p>
            <w:pPr>
              <w:pStyle w:val="TableParagraph"/>
              <w:spacing w:before="96"/>
              <w:ind w:left="83"/>
              <w:rPr>
                <w:sz w:val="22"/>
              </w:rPr>
            </w:pPr>
            <w:r>
              <w:rPr>
                <w:color w:val="FFFFFF"/>
                <w:sz w:val="22"/>
              </w:rPr>
              <w:t>环节</w:t>
            </w:r>
          </w:p>
        </w:tc>
        <w:tc>
          <w:tcPr>
            <w:tcW w:w="774" w:type="dxa"/>
            <w:tcBorders>
              <w:top w:val="nil"/>
              <w:left w:val="dotted" w:sz="8" w:space="0" w:color="6C6C6C"/>
              <w:bottom w:val="nil"/>
              <w:right w:val="dotted" w:sz="8" w:space="0" w:color="6C6C6C"/>
            </w:tcBorders>
            <w:shd w:val="clear" w:color="auto" w:fill="F79546"/>
          </w:tcPr>
          <w:p>
            <w:pPr>
              <w:pStyle w:val="TableParagraph"/>
              <w:spacing w:before="96"/>
              <w:ind w:left="74"/>
              <w:rPr>
                <w:sz w:val="22"/>
              </w:rPr>
            </w:pPr>
            <w:r>
              <w:rPr>
                <w:color w:val="FFFFFF"/>
                <w:sz w:val="22"/>
              </w:rPr>
              <w:t>项目</w:t>
            </w:r>
          </w:p>
        </w:tc>
        <w:tc>
          <w:tcPr>
            <w:tcW w:w="7167" w:type="dxa"/>
            <w:tcBorders>
              <w:top w:val="nil"/>
              <w:left w:val="dotted" w:sz="8" w:space="0" w:color="6C6C6C"/>
              <w:bottom w:val="nil"/>
              <w:right w:val="nil"/>
            </w:tcBorders>
            <w:shd w:val="clear" w:color="auto" w:fill="F79546"/>
          </w:tcPr>
          <w:p>
            <w:pPr>
              <w:pStyle w:val="TableParagraph"/>
              <w:spacing w:before="96"/>
              <w:ind w:left="73"/>
              <w:rPr>
                <w:sz w:val="22"/>
              </w:rPr>
            </w:pPr>
            <w:r>
              <w:rPr>
                <w:color w:val="FFFFFF"/>
                <w:sz w:val="22"/>
              </w:rPr>
              <w:t>内容</w:t>
            </w:r>
          </w:p>
        </w:tc>
      </w:tr>
      <w:tr>
        <w:trPr>
          <w:trHeight w:val="721" w:hRule="atLeast"/>
        </w:trPr>
        <w:tc>
          <w:tcPr>
            <w:tcW w:w="875" w:type="dxa"/>
            <w:vMerge w:val="restart"/>
            <w:tcBorders>
              <w:top w:val="nil"/>
              <w:right w:val="dotted" w:sz="8" w:space="0" w:color="6C6C6C"/>
            </w:tcBorders>
          </w:tcPr>
          <w:p>
            <w:pPr>
              <w:pStyle w:val="TableParagraph"/>
              <w:rPr>
                <w:sz w:val="22"/>
              </w:rPr>
            </w:pPr>
          </w:p>
          <w:p>
            <w:pPr>
              <w:pStyle w:val="TableParagraph"/>
              <w:rPr>
                <w:sz w:val="22"/>
              </w:rPr>
            </w:pPr>
          </w:p>
          <w:p>
            <w:pPr>
              <w:pStyle w:val="TableParagraph"/>
              <w:spacing w:before="10"/>
              <w:rPr>
                <w:sz w:val="19"/>
              </w:rPr>
            </w:pPr>
          </w:p>
          <w:p>
            <w:pPr>
              <w:pStyle w:val="TableParagraph"/>
              <w:ind w:left="73"/>
              <w:rPr>
                <w:sz w:val="22"/>
              </w:rPr>
            </w:pPr>
            <w:r>
              <w:rPr>
                <w:sz w:val="22"/>
              </w:rPr>
              <w:t>环节一</w:t>
            </w:r>
          </w:p>
        </w:tc>
        <w:tc>
          <w:tcPr>
            <w:tcW w:w="774" w:type="dxa"/>
            <w:tcBorders>
              <w:top w:val="nil"/>
              <w:left w:val="dotted" w:sz="8" w:space="0" w:color="6C6C6C"/>
              <w:right w:val="dotted" w:sz="8" w:space="0" w:color="6C6C6C"/>
            </w:tcBorders>
          </w:tcPr>
          <w:p>
            <w:pPr>
              <w:pStyle w:val="TableParagraph"/>
              <w:spacing w:line="242" w:lineRule="auto" w:before="75"/>
              <w:ind w:left="74" w:right="235"/>
              <w:rPr>
                <w:sz w:val="22"/>
              </w:rPr>
            </w:pPr>
            <w:r>
              <w:rPr>
                <w:sz w:val="22"/>
              </w:rPr>
              <w:t>情境设计</w:t>
            </w:r>
          </w:p>
        </w:tc>
        <w:tc>
          <w:tcPr>
            <w:tcW w:w="7167" w:type="dxa"/>
            <w:tcBorders>
              <w:top w:val="nil"/>
              <w:left w:val="dotted" w:sz="8" w:space="0" w:color="6C6C6C"/>
            </w:tcBorders>
          </w:tcPr>
          <w:p>
            <w:pPr>
              <w:pStyle w:val="TableParagraph"/>
              <w:spacing w:before="1"/>
              <w:rPr>
                <w:sz w:val="17"/>
              </w:rPr>
            </w:pPr>
          </w:p>
          <w:p>
            <w:pPr>
              <w:pStyle w:val="TableParagraph"/>
              <w:ind w:left="73"/>
              <w:rPr>
                <w:sz w:val="22"/>
              </w:rPr>
            </w:pPr>
            <w:r>
              <w:rPr>
                <w:sz w:val="22"/>
              </w:rPr>
              <w:t>播放“大国工匠”片段。</w:t>
            </w:r>
          </w:p>
        </w:tc>
      </w:tr>
      <w:tr>
        <w:trPr>
          <w:trHeight w:val="720" w:hRule="atLeast"/>
        </w:trPr>
        <w:tc>
          <w:tcPr>
            <w:tcW w:w="875" w:type="dxa"/>
            <w:vMerge/>
            <w:tcBorders>
              <w:top w:val="nil"/>
              <w:right w:val="dotted" w:sz="8" w:space="0" w:color="6C6C6C"/>
            </w:tcBorders>
          </w:tcPr>
          <w:p>
            <w:pPr>
              <w:rPr>
                <w:sz w:val="2"/>
                <w:szCs w:val="2"/>
              </w:rPr>
            </w:pPr>
          </w:p>
        </w:tc>
        <w:tc>
          <w:tcPr>
            <w:tcW w:w="774" w:type="dxa"/>
            <w:tcBorders>
              <w:left w:val="dotted" w:sz="8" w:space="0" w:color="6C6C6C"/>
              <w:right w:val="dotted" w:sz="8" w:space="0" w:color="6C6C6C"/>
            </w:tcBorders>
          </w:tcPr>
          <w:p>
            <w:pPr>
              <w:pStyle w:val="TableParagraph"/>
              <w:spacing w:line="242" w:lineRule="auto" w:before="75"/>
              <w:ind w:left="74" w:right="235"/>
              <w:rPr>
                <w:sz w:val="22"/>
              </w:rPr>
            </w:pPr>
            <w:r>
              <w:rPr>
                <w:sz w:val="22"/>
              </w:rPr>
              <w:t>任务设计</w:t>
            </w:r>
          </w:p>
        </w:tc>
        <w:tc>
          <w:tcPr>
            <w:tcW w:w="7167" w:type="dxa"/>
            <w:tcBorders>
              <w:left w:val="dotted" w:sz="8" w:space="0" w:color="6C6C6C"/>
            </w:tcBorders>
          </w:tcPr>
          <w:p>
            <w:pPr>
              <w:pStyle w:val="TableParagraph"/>
              <w:spacing w:before="75"/>
              <w:ind w:left="73"/>
              <w:rPr>
                <w:sz w:val="22"/>
              </w:rPr>
            </w:pPr>
            <w:r>
              <w:rPr>
                <w:sz w:val="22"/>
              </w:rPr>
              <w:t>“课前准备”</w:t>
            </w:r>
          </w:p>
          <w:p>
            <w:pPr>
              <w:pStyle w:val="TableParagraph"/>
              <w:spacing w:before="4"/>
              <w:ind w:left="73"/>
              <w:rPr>
                <w:sz w:val="22"/>
              </w:rPr>
            </w:pPr>
            <w:r>
              <w:rPr>
                <w:sz w:val="22"/>
              </w:rPr>
              <w:t>课前寻找心目中的</w:t>
            </w:r>
            <w:r>
              <w:rPr>
                <w:rFonts w:ascii="Times New Roman" w:hAnsi="Times New Roman" w:eastAsia="Times New Roman"/>
                <w:sz w:val="22"/>
              </w:rPr>
              <w:t>“</w:t>
            </w:r>
            <w:r>
              <w:rPr>
                <w:sz w:val="22"/>
              </w:rPr>
              <w:t>工匠</w:t>
            </w:r>
            <w:r>
              <w:rPr>
                <w:rFonts w:ascii="Times New Roman" w:hAnsi="Times New Roman" w:eastAsia="Times New Roman"/>
                <w:sz w:val="22"/>
              </w:rPr>
              <w:t>”</w:t>
            </w:r>
            <w:r>
              <w:rPr>
                <w:sz w:val="22"/>
              </w:rPr>
              <w:t>，做成</w:t>
            </w:r>
            <w:r>
              <w:rPr>
                <w:rFonts w:ascii="Times New Roman" w:hAnsi="Times New Roman" w:eastAsia="Times New Roman"/>
                <w:sz w:val="22"/>
              </w:rPr>
              <w:t>PPT</w:t>
            </w:r>
            <w:r>
              <w:rPr>
                <w:sz w:val="22"/>
              </w:rPr>
              <w:t>，课堂展示分享。</w:t>
            </w:r>
          </w:p>
        </w:tc>
      </w:tr>
      <w:tr>
        <w:trPr>
          <w:trHeight w:val="432" w:hRule="atLeast"/>
        </w:trPr>
        <w:tc>
          <w:tcPr>
            <w:tcW w:w="875" w:type="dxa"/>
            <w:vMerge/>
            <w:tcBorders>
              <w:top w:val="nil"/>
              <w:right w:val="dotted" w:sz="8" w:space="0" w:color="6C6C6C"/>
            </w:tcBorders>
          </w:tcPr>
          <w:p>
            <w:pPr>
              <w:rPr>
                <w:sz w:val="2"/>
                <w:szCs w:val="2"/>
              </w:rPr>
            </w:pPr>
          </w:p>
        </w:tc>
        <w:tc>
          <w:tcPr>
            <w:tcW w:w="774" w:type="dxa"/>
            <w:tcBorders>
              <w:left w:val="dotted" w:sz="8" w:space="0" w:color="6C6C6C"/>
              <w:right w:val="dotted" w:sz="8" w:space="0" w:color="6C6C6C"/>
            </w:tcBorders>
          </w:tcPr>
          <w:p>
            <w:pPr>
              <w:pStyle w:val="TableParagraph"/>
              <w:spacing w:before="77"/>
              <w:ind w:left="74"/>
              <w:rPr>
                <w:sz w:val="22"/>
              </w:rPr>
            </w:pPr>
            <w:r>
              <w:rPr>
                <w:sz w:val="22"/>
              </w:rPr>
              <w:t>评价</w:t>
            </w:r>
          </w:p>
        </w:tc>
        <w:tc>
          <w:tcPr>
            <w:tcW w:w="7167" w:type="dxa"/>
            <w:tcBorders>
              <w:left w:val="dotted" w:sz="8" w:space="0" w:color="6C6C6C"/>
            </w:tcBorders>
          </w:tcPr>
          <w:p>
            <w:pPr>
              <w:pStyle w:val="TableParagraph"/>
              <w:numPr>
                <w:ilvl w:val="0"/>
                <w:numId w:val="3"/>
              </w:numPr>
              <w:tabs>
                <w:tab w:pos="208" w:val="left" w:leader="none"/>
              </w:tabs>
              <w:spacing w:line="240" w:lineRule="auto" w:before="77" w:after="0"/>
              <w:ind w:left="207" w:right="0" w:hanging="135"/>
              <w:jc w:val="left"/>
              <w:rPr>
                <w:sz w:val="22"/>
              </w:rPr>
            </w:pPr>
            <w:r>
              <w:rPr>
                <w:spacing w:val="-3"/>
                <w:sz w:val="22"/>
              </w:rPr>
              <w:t>关注学生是否关心社会。</w:t>
            </w:r>
          </w:p>
        </w:tc>
      </w:tr>
    </w:tbl>
    <w:p>
      <w:pPr>
        <w:spacing w:after="0" w:line="240" w:lineRule="auto"/>
        <w:jc w:val="left"/>
        <w:rPr>
          <w:sz w:val="22"/>
        </w:rPr>
        <w:sectPr>
          <w:pgSz w:w="11900" w:h="16840"/>
          <w:pgMar w:header="0" w:footer="655" w:top="1380" w:bottom="920" w:left="700" w:right="1200"/>
        </w:sectPr>
      </w:pPr>
    </w:p>
    <w:tbl>
      <w:tblPr>
        <w:tblW w:w="0" w:type="auto"/>
        <w:jc w:val="left"/>
        <w:tblInd w:w="652" w:type="dxa"/>
        <w:tblBorders>
          <w:top w:val="single" w:sz="8" w:space="0" w:color="F79546"/>
          <w:left w:val="single" w:sz="8" w:space="0" w:color="F79546"/>
          <w:bottom w:val="single" w:sz="8" w:space="0" w:color="F79546"/>
          <w:right w:val="single" w:sz="8" w:space="0" w:color="F79546"/>
          <w:insideH w:val="single" w:sz="8" w:space="0" w:color="F79546"/>
          <w:insideV w:val="single" w:sz="8" w:space="0" w:color="F79546"/>
        </w:tblBorders>
        <w:tblLayout w:type="fixed"/>
        <w:tblCellMar>
          <w:top w:w="0" w:type="dxa"/>
          <w:left w:w="0" w:type="dxa"/>
          <w:bottom w:w="0" w:type="dxa"/>
          <w:right w:w="0" w:type="dxa"/>
        </w:tblCellMar>
        <w:tblLook w:val="01E0"/>
      </w:tblPr>
      <w:tblGrid>
        <w:gridCol w:w="875"/>
        <w:gridCol w:w="774"/>
        <w:gridCol w:w="7167"/>
      </w:tblGrid>
      <w:tr>
        <w:trPr>
          <w:trHeight w:val="435" w:hRule="atLeast"/>
        </w:trPr>
        <w:tc>
          <w:tcPr>
            <w:tcW w:w="875" w:type="dxa"/>
            <w:vMerge w:val="restart"/>
            <w:tcBorders>
              <w:right w:val="dotted" w:sz="8" w:space="0" w:color="6C6C6C"/>
            </w:tcBorders>
          </w:tcPr>
          <w:p>
            <w:pPr>
              <w:pStyle w:val="TableParagraph"/>
              <w:rPr>
                <w:rFonts w:ascii="Times New Roman"/>
                <w:sz w:val="22"/>
              </w:rPr>
            </w:pPr>
          </w:p>
        </w:tc>
        <w:tc>
          <w:tcPr>
            <w:tcW w:w="774" w:type="dxa"/>
            <w:tcBorders>
              <w:left w:val="dotted" w:sz="8" w:space="0" w:color="6C6C6C"/>
              <w:right w:val="dotted" w:sz="8" w:space="0" w:color="6C6C6C"/>
            </w:tcBorders>
          </w:tcPr>
          <w:p>
            <w:pPr>
              <w:pStyle w:val="TableParagraph"/>
              <w:spacing w:before="78"/>
              <w:ind w:left="74"/>
              <w:rPr>
                <w:sz w:val="22"/>
              </w:rPr>
            </w:pPr>
            <w:r>
              <w:rPr>
                <w:sz w:val="22"/>
              </w:rPr>
              <w:t>设计</w:t>
            </w:r>
          </w:p>
        </w:tc>
        <w:tc>
          <w:tcPr>
            <w:tcW w:w="7167" w:type="dxa"/>
            <w:tcBorders>
              <w:left w:val="dotted" w:sz="8" w:space="0" w:color="6C6C6C"/>
            </w:tcBorders>
          </w:tcPr>
          <w:p>
            <w:pPr>
              <w:pStyle w:val="TableParagraph"/>
              <w:numPr>
                <w:ilvl w:val="0"/>
                <w:numId w:val="4"/>
              </w:numPr>
              <w:tabs>
                <w:tab w:pos="208" w:val="left" w:leader="none"/>
              </w:tabs>
              <w:spacing w:line="240" w:lineRule="auto" w:before="78" w:after="0"/>
              <w:ind w:left="207" w:right="0" w:hanging="135"/>
              <w:jc w:val="left"/>
              <w:rPr>
                <w:sz w:val="22"/>
              </w:rPr>
            </w:pPr>
            <w:r>
              <w:rPr>
                <w:spacing w:val="-3"/>
                <w:sz w:val="22"/>
              </w:rPr>
              <w:t>评估学生搜集、整合资料的能力。</w:t>
            </w:r>
          </w:p>
        </w:tc>
      </w:tr>
      <w:tr>
        <w:trPr>
          <w:trHeight w:val="720" w:hRule="atLeast"/>
        </w:trPr>
        <w:tc>
          <w:tcPr>
            <w:tcW w:w="875" w:type="dxa"/>
            <w:vMerge/>
            <w:tcBorders>
              <w:top w:val="nil"/>
              <w:right w:val="dotted" w:sz="8" w:space="0" w:color="6C6C6C"/>
            </w:tcBorders>
          </w:tcPr>
          <w:p>
            <w:pPr>
              <w:rPr>
                <w:sz w:val="2"/>
                <w:szCs w:val="2"/>
              </w:rPr>
            </w:pPr>
          </w:p>
        </w:tc>
        <w:tc>
          <w:tcPr>
            <w:tcW w:w="774" w:type="dxa"/>
            <w:tcBorders>
              <w:left w:val="dotted" w:sz="8" w:space="0" w:color="6C6C6C"/>
              <w:right w:val="dotted" w:sz="8" w:space="0" w:color="6C6C6C"/>
            </w:tcBorders>
          </w:tcPr>
          <w:p>
            <w:pPr>
              <w:pStyle w:val="TableParagraph"/>
              <w:spacing w:line="242" w:lineRule="auto" w:before="76"/>
              <w:ind w:left="74" w:right="235"/>
              <w:rPr>
                <w:sz w:val="22"/>
              </w:rPr>
            </w:pPr>
            <w:r>
              <w:rPr>
                <w:sz w:val="22"/>
              </w:rPr>
              <w:t>设计意图</w:t>
            </w:r>
          </w:p>
        </w:tc>
        <w:tc>
          <w:tcPr>
            <w:tcW w:w="7167" w:type="dxa"/>
            <w:tcBorders>
              <w:left w:val="dotted" w:sz="8" w:space="0" w:color="6C6C6C"/>
            </w:tcBorders>
          </w:tcPr>
          <w:p>
            <w:pPr>
              <w:pStyle w:val="TableParagraph"/>
              <w:rPr>
                <w:sz w:val="17"/>
              </w:rPr>
            </w:pPr>
          </w:p>
          <w:p>
            <w:pPr>
              <w:pStyle w:val="TableParagraph"/>
              <w:ind w:left="73"/>
              <w:rPr>
                <w:sz w:val="22"/>
              </w:rPr>
            </w:pPr>
            <w:r>
              <w:rPr>
                <w:sz w:val="22"/>
              </w:rPr>
              <w:t>通过这个环节，让学生对“工匠</w:t>
            </w:r>
            <w:r>
              <w:rPr>
                <w:rFonts w:ascii="Times New Roman" w:hAnsi="Times New Roman" w:eastAsia="Times New Roman"/>
                <w:sz w:val="22"/>
              </w:rPr>
              <w:t>”</w:t>
            </w:r>
            <w:r>
              <w:rPr>
                <w:sz w:val="22"/>
              </w:rPr>
              <w:t>有一个直接、感性的认识。</w:t>
            </w:r>
          </w:p>
        </w:tc>
      </w:tr>
    </w:tbl>
    <w:p>
      <w:pPr>
        <w:pStyle w:val="BodyText"/>
        <w:spacing w:before="7"/>
        <w:rPr>
          <w:sz w:val="20"/>
        </w:rPr>
      </w:pPr>
    </w:p>
    <w:tbl>
      <w:tblPr>
        <w:tblW w:w="0" w:type="auto"/>
        <w:jc w:val="left"/>
        <w:tblInd w:w="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72"/>
        <w:gridCol w:w="777"/>
        <w:gridCol w:w="7096"/>
      </w:tblGrid>
      <w:tr>
        <w:trPr>
          <w:trHeight w:val="731" w:hRule="atLeast"/>
        </w:trPr>
        <w:tc>
          <w:tcPr>
            <w:tcW w:w="872" w:type="dxa"/>
            <w:vMerge w:val="restart"/>
            <w:tcBorders>
              <w:right w:val="dotted" w:sz="6" w:space="0" w:color="6C6C6C"/>
            </w:tcBorders>
            <w:shd w:val="clear" w:color="auto" w:fill="F79546"/>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8"/>
              <w:rPr>
                <w:sz w:val="27"/>
              </w:rPr>
            </w:pPr>
          </w:p>
          <w:p>
            <w:pPr>
              <w:pStyle w:val="TableParagraph"/>
              <w:spacing w:before="1"/>
              <w:ind w:left="74"/>
              <w:rPr>
                <w:sz w:val="22"/>
              </w:rPr>
            </w:pPr>
            <w:r>
              <w:rPr>
                <w:color w:val="FFFFFF"/>
                <w:sz w:val="22"/>
              </w:rPr>
              <w:t>环节二</w:t>
            </w:r>
          </w:p>
        </w:tc>
        <w:tc>
          <w:tcPr>
            <w:tcW w:w="777" w:type="dxa"/>
            <w:tcBorders>
              <w:left w:val="dotted" w:sz="6" w:space="0" w:color="6C6C6C"/>
              <w:right w:val="dotted" w:sz="6" w:space="0" w:color="6C6C6C"/>
            </w:tcBorders>
            <w:shd w:val="clear" w:color="auto" w:fill="F79546"/>
          </w:tcPr>
          <w:p>
            <w:pPr>
              <w:pStyle w:val="TableParagraph"/>
              <w:spacing w:line="242" w:lineRule="auto" w:before="85"/>
              <w:ind w:left="68" w:right="250"/>
              <w:rPr>
                <w:sz w:val="22"/>
              </w:rPr>
            </w:pPr>
            <w:r>
              <w:rPr>
                <w:color w:val="FFFFFF"/>
                <w:sz w:val="22"/>
              </w:rPr>
              <w:t>情境设计</w:t>
            </w:r>
          </w:p>
        </w:tc>
        <w:tc>
          <w:tcPr>
            <w:tcW w:w="7096" w:type="dxa"/>
            <w:tcBorders>
              <w:left w:val="dotted" w:sz="6" w:space="0" w:color="6C6C6C"/>
            </w:tcBorders>
            <w:shd w:val="clear" w:color="auto" w:fill="F79546"/>
          </w:tcPr>
          <w:p>
            <w:pPr>
              <w:pStyle w:val="TableParagraph"/>
              <w:spacing w:before="9"/>
              <w:rPr>
                <w:sz w:val="17"/>
              </w:rPr>
            </w:pPr>
          </w:p>
          <w:p>
            <w:pPr>
              <w:pStyle w:val="TableParagraph"/>
              <w:ind w:left="66"/>
              <w:rPr>
                <w:sz w:val="22"/>
              </w:rPr>
            </w:pPr>
            <w:r>
              <w:rPr>
                <w:color w:val="FFFFFF"/>
                <w:sz w:val="22"/>
              </w:rPr>
              <w:t>继续播放“大国工匠”片段。</w:t>
            </w:r>
          </w:p>
        </w:tc>
      </w:tr>
      <w:tr>
        <w:trPr>
          <w:trHeight w:val="720" w:hRule="atLeast"/>
        </w:trPr>
        <w:tc>
          <w:tcPr>
            <w:tcW w:w="872" w:type="dxa"/>
            <w:vMerge/>
            <w:tcBorders>
              <w:top w:val="nil"/>
              <w:right w:val="dotted" w:sz="6" w:space="0" w:color="6C6C6C"/>
            </w:tcBorders>
            <w:shd w:val="clear" w:color="auto" w:fill="F79546"/>
          </w:tcPr>
          <w:p>
            <w:pPr>
              <w:rPr>
                <w:sz w:val="2"/>
                <w:szCs w:val="2"/>
              </w:rPr>
            </w:pPr>
          </w:p>
        </w:tc>
        <w:tc>
          <w:tcPr>
            <w:tcW w:w="777" w:type="dxa"/>
            <w:tcBorders>
              <w:top w:val="single" w:sz="8" w:space="0" w:color="F79546"/>
              <w:left w:val="dotted" w:sz="6" w:space="0" w:color="6C6C6C"/>
              <w:bottom w:val="single" w:sz="8" w:space="0" w:color="F79546"/>
              <w:right w:val="dotted" w:sz="6" w:space="0" w:color="6C6C6C"/>
            </w:tcBorders>
          </w:tcPr>
          <w:p>
            <w:pPr>
              <w:pStyle w:val="TableParagraph"/>
              <w:spacing w:line="242" w:lineRule="auto" w:before="76"/>
              <w:ind w:left="68" w:right="250"/>
              <w:rPr>
                <w:sz w:val="22"/>
              </w:rPr>
            </w:pPr>
            <w:r>
              <w:rPr>
                <w:sz w:val="22"/>
              </w:rPr>
              <w:t>任务设计</w:t>
            </w:r>
          </w:p>
        </w:tc>
        <w:tc>
          <w:tcPr>
            <w:tcW w:w="7096" w:type="dxa"/>
            <w:tcBorders>
              <w:top w:val="single" w:sz="8" w:space="0" w:color="F79546"/>
              <w:left w:val="dotted" w:sz="6" w:space="0" w:color="6C6C6C"/>
              <w:bottom w:val="single" w:sz="8" w:space="0" w:color="F79546"/>
              <w:right w:val="single" w:sz="8" w:space="0" w:color="F79546"/>
            </w:tcBorders>
          </w:tcPr>
          <w:p>
            <w:pPr>
              <w:pStyle w:val="TableParagraph"/>
              <w:spacing w:before="76"/>
              <w:ind w:left="66"/>
              <w:rPr>
                <w:sz w:val="22"/>
              </w:rPr>
            </w:pPr>
            <w:r>
              <w:rPr>
                <w:sz w:val="22"/>
              </w:rPr>
              <w:t>“小组交流”</w:t>
            </w:r>
          </w:p>
          <w:p>
            <w:pPr>
              <w:pStyle w:val="TableParagraph"/>
              <w:spacing w:before="4"/>
              <w:ind w:left="66"/>
              <w:rPr>
                <w:sz w:val="22"/>
              </w:rPr>
            </w:pPr>
            <w:r>
              <w:rPr>
                <w:sz w:val="22"/>
              </w:rPr>
              <w:t>交流分享各自心目中工匠的感人之处，确定小组发言的关键词。</w:t>
            </w:r>
          </w:p>
        </w:tc>
      </w:tr>
      <w:tr>
        <w:trPr>
          <w:trHeight w:val="1005" w:hRule="atLeast"/>
        </w:trPr>
        <w:tc>
          <w:tcPr>
            <w:tcW w:w="872" w:type="dxa"/>
            <w:vMerge/>
            <w:tcBorders>
              <w:top w:val="nil"/>
              <w:right w:val="dotted" w:sz="6" w:space="0" w:color="6C6C6C"/>
            </w:tcBorders>
            <w:shd w:val="clear" w:color="auto" w:fill="F79546"/>
          </w:tcPr>
          <w:p>
            <w:pPr>
              <w:rPr>
                <w:sz w:val="2"/>
                <w:szCs w:val="2"/>
              </w:rPr>
            </w:pPr>
          </w:p>
        </w:tc>
        <w:tc>
          <w:tcPr>
            <w:tcW w:w="777" w:type="dxa"/>
            <w:tcBorders>
              <w:top w:val="single" w:sz="8" w:space="0" w:color="F79546"/>
              <w:left w:val="dotted" w:sz="6" w:space="0" w:color="6C6C6C"/>
              <w:bottom w:val="single" w:sz="8" w:space="0" w:color="F79546"/>
              <w:right w:val="dotted" w:sz="6" w:space="0" w:color="6C6C6C"/>
            </w:tcBorders>
          </w:tcPr>
          <w:p>
            <w:pPr>
              <w:pStyle w:val="TableParagraph"/>
              <w:spacing w:before="1"/>
              <w:rPr>
                <w:sz w:val="17"/>
              </w:rPr>
            </w:pPr>
          </w:p>
          <w:p>
            <w:pPr>
              <w:pStyle w:val="TableParagraph"/>
              <w:spacing w:line="242" w:lineRule="auto"/>
              <w:ind w:left="68" w:right="250"/>
              <w:rPr>
                <w:sz w:val="22"/>
              </w:rPr>
            </w:pPr>
            <w:r>
              <w:rPr>
                <w:sz w:val="22"/>
              </w:rPr>
              <w:t>评价设计</w:t>
            </w:r>
          </w:p>
        </w:tc>
        <w:tc>
          <w:tcPr>
            <w:tcW w:w="7096" w:type="dxa"/>
            <w:tcBorders>
              <w:top w:val="single" w:sz="8" w:space="0" w:color="F79546"/>
              <w:left w:val="dotted" w:sz="6" w:space="0" w:color="6C6C6C"/>
              <w:bottom w:val="single" w:sz="8" w:space="0" w:color="F79546"/>
              <w:right w:val="single" w:sz="8" w:space="0" w:color="F79546"/>
            </w:tcBorders>
          </w:tcPr>
          <w:p>
            <w:pPr>
              <w:pStyle w:val="TableParagraph"/>
              <w:numPr>
                <w:ilvl w:val="0"/>
                <w:numId w:val="5"/>
              </w:numPr>
              <w:tabs>
                <w:tab w:pos="201" w:val="left" w:leader="none"/>
              </w:tabs>
              <w:spacing w:line="242" w:lineRule="auto" w:before="77" w:after="0"/>
              <w:ind w:left="66" w:right="278" w:firstLine="0"/>
              <w:jc w:val="left"/>
              <w:rPr>
                <w:sz w:val="22"/>
              </w:rPr>
            </w:pPr>
            <w:r>
              <w:rPr>
                <w:spacing w:val="-3"/>
                <w:sz w:val="22"/>
              </w:rPr>
              <w:t>关注学生的表达和倾听能力，引导学生既要善于表达自己的观点，又要善于倾听别人的观点。</w:t>
            </w:r>
          </w:p>
          <w:p>
            <w:pPr>
              <w:pStyle w:val="TableParagraph"/>
              <w:numPr>
                <w:ilvl w:val="0"/>
                <w:numId w:val="5"/>
              </w:numPr>
              <w:tabs>
                <w:tab w:pos="201" w:val="left" w:leader="none"/>
              </w:tabs>
              <w:spacing w:line="281" w:lineRule="exact" w:before="0" w:after="0"/>
              <w:ind w:left="200" w:right="0" w:hanging="135"/>
              <w:jc w:val="left"/>
              <w:rPr>
                <w:sz w:val="22"/>
              </w:rPr>
            </w:pPr>
            <w:r>
              <w:rPr>
                <w:spacing w:val="-3"/>
                <w:sz w:val="22"/>
              </w:rPr>
              <w:t>关注学生的协调沟通能力，引导学生学会存异求同。</w:t>
            </w:r>
          </w:p>
        </w:tc>
      </w:tr>
      <w:tr>
        <w:trPr>
          <w:trHeight w:val="721" w:hRule="atLeast"/>
        </w:trPr>
        <w:tc>
          <w:tcPr>
            <w:tcW w:w="872" w:type="dxa"/>
            <w:vMerge/>
            <w:tcBorders>
              <w:top w:val="nil"/>
              <w:right w:val="dotted" w:sz="6" w:space="0" w:color="6C6C6C"/>
            </w:tcBorders>
            <w:shd w:val="clear" w:color="auto" w:fill="F79546"/>
          </w:tcPr>
          <w:p>
            <w:pPr>
              <w:rPr>
                <w:sz w:val="2"/>
                <w:szCs w:val="2"/>
              </w:rPr>
            </w:pPr>
          </w:p>
        </w:tc>
        <w:tc>
          <w:tcPr>
            <w:tcW w:w="777" w:type="dxa"/>
            <w:tcBorders>
              <w:top w:val="single" w:sz="8" w:space="0" w:color="F79546"/>
              <w:left w:val="dotted" w:sz="6" w:space="0" w:color="6C6C6C"/>
              <w:bottom w:val="single" w:sz="8" w:space="0" w:color="F79546"/>
              <w:right w:val="dotted" w:sz="6" w:space="0" w:color="6C6C6C"/>
            </w:tcBorders>
          </w:tcPr>
          <w:p>
            <w:pPr>
              <w:pStyle w:val="TableParagraph"/>
              <w:spacing w:line="242" w:lineRule="auto" w:before="76"/>
              <w:ind w:left="68" w:right="250"/>
              <w:rPr>
                <w:sz w:val="22"/>
              </w:rPr>
            </w:pPr>
            <w:r>
              <w:rPr>
                <w:sz w:val="22"/>
              </w:rPr>
              <w:t>设计意图</w:t>
            </w:r>
          </w:p>
        </w:tc>
        <w:tc>
          <w:tcPr>
            <w:tcW w:w="7096" w:type="dxa"/>
            <w:tcBorders>
              <w:top w:val="single" w:sz="8" w:space="0" w:color="F79546"/>
              <w:left w:val="dotted" w:sz="6" w:space="0" w:color="6C6C6C"/>
              <w:bottom w:val="single" w:sz="8" w:space="0" w:color="F79546"/>
              <w:right w:val="single" w:sz="8" w:space="0" w:color="F79546"/>
            </w:tcBorders>
          </w:tcPr>
          <w:p>
            <w:pPr>
              <w:pStyle w:val="TableParagraph"/>
              <w:spacing w:line="242" w:lineRule="auto" w:before="76"/>
              <w:ind w:left="66" w:right="189"/>
              <w:rPr>
                <w:sz w:val="22"/>
              </w:rPr>
            </w:pPr>
            <w:r>
              <w:rPr>
                <w:sz w:val="22"/>
              </w:rPr>
              <w:t>通过这个环节，引导学生发现让人感动的工匠身上的闪光点，同时培养学生的表达、倾听、沟通、协调能力。</w:t>
            </w:r>
          </w:p>
        </w:tc>
      </w:tr>
    </w:tbl>
    <w:p>
      <w:pPr>
        <w:pStyle w:val="BodyText"/>
        <w:spacing w:before="7"/>
        <w:rPr>
          <w:sz w:val="20"/>
        </w:rPr>
      </w:pPr>
    </w:p>
    <w:tbl>
      <w:tblPr>
        <w:tblW w:w="0" w:type="auto"/>
        <w:jc w:val="left"/>
        <w:tblInd w:w="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81"/>
        <w:gridCol w:w="723"/>
        <w:gridCol w:w="7164"/>
      </w:tblGrid>
      <w:tr>
        <w:trPr>
          <w:trHeight w:val="722" w:hRule="atLeast"/>
        </w:trPr>
        <w:tc>
          <w:tcPr>
            <w:tcW w:w="981" w:type="dxa"/>
            <w:vMerge w:val="restart"/>
            <w:tcBorders>
              <w:right w:val="dotted" w:sz="6" w:space="0" w:color="6C6C6C"/>
            </w:tcBorders>
            <w:shd w:val="clear" w:color="auto" w:fill="F79546"/>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81"/>
              <w:ind w:left="74"/>
              <w:rPr>
                <w:sz w:val="22"/>
              </w:rPr>
            </w:pPr>
            <w:r>
              <w:rPr>
                <w:color w:val="FFFFFF"/>
                <w:sz w:val="22"/>
              </w:rPr>
              <w:t>环节三</w:t>
            </w:r>
          </w:p>
        </w:tc>
        <w:tc>
          <w:tcPr>
            <w:tcW w:w="723" w:type="dxa"/>
            <w:tcBorders>
              <w:left w:val="dotted" w:sz="6" w:space="0" w:color="6C6C6C"/>
              <w:right w:val="dotted" w:sz="6" w:space="0" w:color="6C6C6C"/>
            </w:tcBorders>
            <w:shd w:val="clear" w:color="auto" w:fill="F79546"/>
          </w:tcPr>
          <w:p>
            <w:pPr>
              <w:pStyle w:val="TableParagraph"/>
              <w:spacing w:line="242" w:lineRule="auto" w:before="85"/>
              <w:ind w:left="67" w:right="197"/>
              <w:rPr>
                <w:sz w:val="22"/>
              </w:rPr>
            </w:pPr>
            <w:r>
              <w:rPr>
                <w:color w:val="FFFFFF"/>
                <w:sz w:val="22"/>
              </w:rPr>
              <w:t>情境设计</w:t>
            </w:r>
          </w:p>
        </w:tc>
        <w:tc>
          <w:tcPr>
            <w:tcW w:w="7164" w:type="dxa"/>
            <w:tcBorders>
              <w:left w:val="dotted" w:sz="6" w:space="0" w:color="6C6C6C"/>
            </w:tcBorders>
            <w:shd w:val="clear" w:color="auto" w:fill="F79546"/>
          </w:tcPr>
          <w:p>
            <w:pPr>
              <w:pStyle w:val="TableParagraph"/>
              <w:spacing w:before="11"/>
              <w:rPr>
                <w:sz w:val="17"/>
              </w:rPr>
            </w:pPr>
          </w:p>
          <w:p>
            <w:pPr>
              <w:pStyle w:val="TableParagraph"/>
              <w:ind w:left="66"/>
              <w:rPr>
                <w:sz w:val="22"/>
              </w:rPr>
            </w:pPr>
            <w:r>
              <w:rPr>
                <w:color w:val="FFFFFF"/>
                <w:sz w:val="22"/>
              </w:rPr>
              <w:t>继续播放</w:t>
            </w:r>
            <w:r>
              <w:rPr>
                <w:rFonts w:ascii="Times New Roman" w:hAnsi="Times New Roman" w:eastAsia="Times New Roman"/>
                <w:color w:val="FFFFFF"/>
                <w:sz w:val="22"/>
              </w:rPr>
              <w:t>“</w:t>
            </w:r>
            <w:r>
              <w:rPr>
                <w:color w:val="FFFFFF"/>
                <w:sz w:val="22"/>
              </w:rPr>
              <w:t>大国工匠</w:t>
            </w:r>
            <w:r>
              <w:rPr>
                <w:rFonts w:ascii="Times New Roman" w:hAnsi="Times New Roman" w:eastAsia="Times New Roman"/>
                <w:color w:val="FFFFFF"/>
                <w:sz w:val="22"/>
              </w:rPr>
              <w:t>”</w:t>
            </w:r>
            <w:r>
              <w:rPr>
                <w:color w:val="FFFFFF"/>
                <w:sz w:val="22"/>
              </w:rPr>
              <w:t>片段。</w:t>
            </w:r>
          </w:p>
        </w:tc>
      </w:tr>
      <w:tr>
        <w:trPr>
          <w:trHeight w:val="728" w:hRule="atLeast"/>
        </w:trPr>
        <w:tc>
          <w:tcPr>
            <w:tcW w:w="981" w:type="dxa"/>
            <w:vMerge/>
            <w:tcBorders>
              <w:top w:val="nil"/>
              <w:right w:val="dotted" w:sz="6" w:space="0" w:color="6C6C6C"/>
            </w:tcBorders>
            <w:shd w:val="clear" w:color="auto" w:fill="F79546"/>
          </w:tcPr>
          <w:p>
            <w:pPr>
              <w:rPr>
                <w:sz w:val="2"/>
                <w:szCs w:val="2"/>
              </w:rPr>
            </w:pPr>
          </w:p>
        </w:tc>
        <w:tc>
          <w:tcPr>
            <w:tcW w:w="723" w:type="dxa"/>
            <w:tcBorders>
              <w:top w:val="single" w:sz="8" w:space="0" w:color="F79546"/>
              <w:left w:val="dotted" w:sz="6" w:space="0" w:color="6C6C6C"/>
              <w:bottom w:val="single" w:sz="8" w:space="0" w:color="F79546"/>
              <w:right w:val="dotted" w:sz="6" w:space="0" w:color="6C6C6C"/>
            </w:tcBorders>
          </w:tcPr>
          <w:p>
            <w:pPr>
              <w:pStyle w:val="TableParagraph"/>
              <w:spacing w:line="242" w:lineRule="auto" w:before="84"/>
              <w:ind w:left="67" w:right="197"/>
              <w:rPr>
                <w:sz w:val="22"/>
              </w:rPr>
            </w:pPr>
            <w:r>
              <w:rPr>
                <w:sz w:val="22"/>
              </w:rPr>
              <w:t>任务设计</w:t>
            </w:r>
          </w:p>
        </w:tc>
        <w:tc>
          <w:tcPr>
            <w:tcW w:w="7164" w:type="dxa"/>
            <w:tcBorders>
              <w:top w:val="single" w:sz="8" w:space="0" w:color="F79546"/>
              <w:left w:val="dotted" w:sz="6" w:space="0" w:color="6C6C6C"/>
              <w:bottom w:val="single" w:sz="8" w:space="0" w:color="F79546"/>
              <w:right w:val="single" w:sz="8" w:space="0" w:color="F79546"/>
            </w:tcBorders>
          </w:tcPr>
          <w:p>
            <w:pPr>
              <w:pStyle w:val="TableParagraph"/>
              <w:spacing w:before="84"/>
              <w:ind w:left="66"/>
              <w:rPr>
                <w:sz w:val="22"/>
              </w:rPr>
            </w:pPr>
            <w:r>
              <w:rPr>
                <w:sz w:val="22"/>
              </w:rPr>
              <w:t>“班级展示”</w:t>
            </w:r>
          </w:p>
          <w:p>
            <w:pPr>
              <w:pStyle w:val="TableParagraph"/>
              <w:spacing w:before="4"/>
              <w:ind w:left="66"/>
              <w:rPr>
                <w:sz w:val="22"/>
              </w:rPr>
            </w:pPr>
            <w:r>
              <w:rPr>
                <w:sz w:val="22"/>
              </w:rPr>
              <w:t>分组展示：我们心目中</w:t>
            </w:r>
            <w:r>
              <w:rPr>
                <w:rFonts w:ascii="Times New Roman" w:hAnsi="Times New Roman" w:eastAsia="Times New Roman"/>
                <w:sz w:val="22"/>
              </w:rPr>
              <w:t>“</w:t>
            </w:r>
            <w:r>
              <w:rPr>
                <w:sz w:val="22"/>
              </w:rPr>
              <w:t>工匠</w:t>
            </w:r>
            <w:r>
              <w:rPr>
                <w:rFonts w:ascii="Times New Roman" w:hAnsi="Times New Roman" w:eastAsia="Times New Roman"/>
                <w:sz w:val="22"/>
              </w:rPr>
              <w:t>”</w:t>
            </w:r>
            <w:r>
              <w:rPr>
                <w:sz w:val="22"/>
              </w:rPr>
              <w:t>的感人之处（表现形式不限）。</w:t>
            </w:r>
          </w:p>
        </w:tc>
      </w:tr>
      <w:tr>
        <w:trPr>
          <w:trHeight w:val="3481" w:hRule="atLeast"/>
        </w:trPr>
        <w:tc>
          <w:tcPr>
            <w:tcW w:w="981" w:type="dxa"/>
            <w:vMerge/>
            <w:tcBorders>
              <w:top w:val="nil"/>
              <w:right w:val="dotted" w:sz="6" w:space="0" w:color="6C6C6C"/>
            </w:tcBorders>
            <w:shd w:val="clear" w:color="auto" w:fill="F79546"/>
          </w:tcPr>
          <w:p>
            <w:pPr>
              <w:rPr>
                <w:sz w:val="2"/>
                <w:szCs w:val="2"/>
              </w:rPr>
            </w:pPr>
          </w:p>
        </w:tc>
        <w:tc>
          <w:tcPr>
            <w:tcW w:w="723" w:type="dxa"/>
            <w:tcBorders>
              <w:top w:val="single" w:sz="8" w:space="0" w:color="F79546"/>
              <w:left w:val="dotted" w:sz="6" w:space="0" w:color="6C6C6C"/>
              <w:bottom w:val="single" w:sz="8" w:space="0" w:color="F79546"/>
              <w:right w:val="dotted" w:sz="6" w:space="0" w:color="6C6C6C"/>
            </w:tcBorders>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7"/>
              <w:rPr>
                <w:sz w:val="25"/>
              </w:rPr>
            </w:pPr>
          </w:p>
          <w:p>
            <w:pPr>
              <w:pStyle w:val="TableParagraph"/>
              <w:spacing w:line="242" w:lineRule="auto"/>
              <w:ind w:left="67" w:right="197"/>
              <w:rPr>
                <w:sz w:val="22"/>
              </w:rPr>
            </w:pPr>
            <w:r>
              <w:rPr>
                <w:sz w:val="22"/>
              </w:rPr>
              <w:t>评价设计</w:t>
            </w:r>
          </w:p>
        </w:tc>
        <w:tc>
          <w:tcPr>
            <w:tcW w:w="7164" w:type="dxa"/>
            <w:tcBorders>
              <w:top w:val="single" w:sz="8" w:space="0" w:color="F79546"/>
              <w:left w:val="dotted" w:sz="6" w:space="0" w:color="6C6C6C"/>
              <w:bottom w:val="single" w:sz="8" w:space="0" w:color="F79546"/>
              <w:right w:val="single" w:sz="8" w:space="0" w:color="F79546"/>
            </w:tcBorders>
          </w:tcPr>
          <w:p>
            <w:pPr>
              <w:pStyle w:val="TableParagraph"/>
              <w:spacing w:before="75" w:after="2"/>
              <w:ind w:left="66"/>
              <w:rPr>
                <w:sz w:val="22"/>
              </w:rPr>
            </w:pPr>
            <w:r>
              <w:rPr>
                <w:sz w:val="22"/>
              </w:rPr>
              <w:t>以小组为单位进行等级评价，主要维度如下表：</w:t>
            </w:r>
          </w:p>
          <w:p>
            <w:pPr>
              <w:pStyle w:val="TableParagraph"/>
              <w:ind w:left="769"/>
              <w:rPr>
                <w:sz w:val="20"/>
              </w:rPr>
            </w:pPr>
            <w:r>
              <w:rPr>
                <w:sz w:val="20"/>
              </w:rPr>
              <w:drawing>
                <wp:inline distT="0" distB="0" distL="0" distR="0">
                  <wp:extent cx="3504011" cy="1726501"/>
                  <wp:effectExtent l="0" t="0" r="0" b="0"/>
                  <wp:docPr id="35" name="image16.png"/>
                  <wp:cNvGraphicFramePr>
                    <a:graphicFrameLocks noChangeAspect="1"/>
                  </wp:cNvGraphicFramePr>
                  <a:graphic>
                    <a:graphicData uri="http://schemas.openxmlformats.org/drawingml/2006/picture">
                      <pic:pic>
                        <pic:nvPicPr>
                          <pic:cNvPr id="36" name="image16.png"/>
                          <pic:cNvPicPr/>
                        </pic:nvPicPr>
                        <pic:blipFill>
                          <a:blip r:embed="rId23" cstate="print"/>
                          <a:stretch>
                            <a:fillRect/>
                          </a:stretch>
                        </pic:blipFill>
                        <pic:spPr>
                          <a:xfrm>
                            <a:off x="0" y="0"/>
                            <a:ext cx="3504011" cy="1726501"/>
                          </a:xfrm>
                          <a:prstGeom prst="rect">
                            <a:avLst/>
                          </a:prstGeom>
                        </pic:spPr>
                      </pic:pic>
                    </a:graphicData>
                  </a:graphic>
                </wp:inline>
              </w:drawing>
            </w:r>
            <w:r>
              <w:rPr>
                <w:sz w:val="20"/>
              </w:rPr>
            </w:r>
          </w:p>
          <w:p>
            <w:pPr>
              <w:pStyle w:val="TableParagraph"/>
              <w:spacing w:before="42"/>
              <w:ind w:left="66"/>
              <w:rPr>
                <w:sz w:val="22"/>
              </w:rPr>
            </w:pPr>
            <w:r>
              <w:rPr>
                <w:sz w:val="22"/>
              </w:rPr>
              <w:t>（等级为</w:t>
            </w:r>
            <w:r>
              <w:rPr>
                <w:rFonts w:ascii="Times New Roman" w:eastAsia="Times New Roman"/>
                <w:sz w:val="22"/>
              </w:rPr>
              <w:t>A</w:t>
            </w:r>
            <w:r>
              <w:rPr>
                <w:sz w:val="22"/>
              </w:rPr>
              <w:t>、</w:t>
            </w:r>
            <w:r>
              <w:rPr>
                <w:rFonts w:ascii="Times New Roman" w:eastAsia="Times New Roman"/>
                <w:sz w:val="22"/>
              </w:rPr>
              <w:t>B</w:t>
            </w:r>
            <w:r>
              <w:rPr>
                <w:sz w:val="22"/>
              </w:rPr>
              <w:t>、</w:t>
            </w:r>
            <w:r>
              <w:rPr>
                <w:rFonts w:ascii="Times New Roman" w:eastAsia="Times New Roman"/>
                <w:sz w:val="22"/>
              </w:rPr>
              <w:t>C</w:t>
            </w:r>
            <w:r>
              <w:rPr>
                <w:sz w:val="22"/>
              </w:rPr>
              <w:t>、</w:t>
            </w:r>
            <w:r>
              <w:rPr>
                <w:rFonts w:ascii="Times New Roman" w:eastAsia="Times New Roman"/>
                <w:sz w:val="22"/>
              </w:rPr>
              <w:t>D</w:t>
            </w:r>
            <w:r>
              <w:rPr>
                <w:sz w:val="22"/>
              </w:rPr>
              <w:t>）</w:t>
            </w:r>
          </w:p>
        </w:tc>
      </w:tr>
      <w:tr>
        <w:trPr>
          <w:trHeight w:val="720" w:hRule="atLeast"/>
        </w:trPr>
        <w:tc>
          <w:tcPr>
            <w:tcW w:w="981" w:type="dxa"/>
            <w:vMerge/>
            <w:tcBorders>
              <w:top w:val="nil"/>
              <w:right w:val="dotted" w:sz="6" w:space="0" w:color="6C6C6C"/>
            </w:tcBorders>
            <w:shd w:val="clear" w:color="auto" w:fill="F79546"/>
          </w:tcPr>
          <w:p>
            <w:pPr>
              <w:rPr>
                <w:sz w:val="2"/>
                <w:szCs w:val="2"/>
              </w:rPr>
            </w:pPr>
          </w:p>
        </w:tc>
        <w:tc>
          <w:tcPr>
            <w:tcW w:w="723" w:type="dxa"/>
            <w:tcBorders>
              <w:top w:val="single" w:sz="8" w:space="0" w:color="F79546"/>
              <w:left w:val="dotted" w:sz="6" w:space="0" w:color="6C6C6C"/>
              <w:bottom w:val="single" w:sz="8" w:space="0" w:color="F79546"/>
              <w:right w:val="dotted" w:sz="6" w:space="0" w:color="6C6C6C"/>
            </w:tcBorders>
          </w:tcPr>
          <w:p>
            <w:pPr>
              <w:pStyle w:val="TableParagraph"/>
              <w:spacing w:line="242" w:lineRule="auto" w:before="76"/>
              <w:ind w:left="67" w:right="197"/>
              <w:rPr>
                <w:sz w:val="22"/>
              </w:rPr>
            </w:pPr>
            <w:r>
              <w:rPr>
                <w:sz w:val="22"/>
              </w:rPr>
              <w:t>设计意图</w:t>
            </w:r>
          </w:p>
        </w:tc>
        <w:tc>
          <w:tcPr>
            <w:tcW w:w="7164" w:type="dxa"/>
            <w:tcBorders>
              <w:top w:val="single" w:sz="8" w:space="0" w:color="F79546"/>
              <w:left w:val="dotted" w:sz="6" w:space="0" w:color="6C6C6C"/>
              <w:bottom w:val="single" w:sz="8" w:space="0" w:color="F79546"/>
              <w:right w:val="single" w:sz="8" w:space="0" w:color="F79546"/>
            </w:tcBorders>
          </w:tcPr>
          <w:p>
            <w:pPr>
              <w:pStyle w:val="TableParagraph"/>
              <w:spacing w:line="242" w:lineRule="auto" w:before="76"/>
              <w:ind w:left="66" w:right="257"/>
              <w:rPr>
                <w:sz w:val="22"/>
              </w:rPr>
            </w:pPr>
            <w:r>
              <w:rPr>
                <w:sz w:val="22"/>
              </w:rPr>
              <w:t>通过分小组各选择一个关键词展示工匠风采，最后各组请一位同学上台介绍，让学生在展示过程中感悟</w:t>
            </w:r>
            <w:r>
              <w:rPr>
                <w:rFonts w:ascii="Times New Roman" w:hAnsi="Times New Roman" w:eastAsia="Times New Roman"/>
                <w:sz w:val="22"/>
              </w:rPr>
              <w:t>“</w:t>
            </w:r>
            <w:r>
              <w:rPr>
                <w:sz w:val="22"/>
              </w:rPr>
              <w:t>工匠精神</w:t>
            </w:r>
            <w:r>
              <w:rPr>
                <w:rFonts w:ascii="Times New Roman" w:hAnsi="Times New Roman" w:eastAsia="Times New Roman"/>
                <w:sz w:val="22"/>
              </w:rPr>
              <w:t>”</w:t>
            </w:r>
            <w:r>
              <w:rPr>
                <w:sz w:val="22"/>
              </w:rPr>
              <w:t>的内涵。</w:t>
            </w:r>
          </w:p>
        </w:tc>
      </w:tr>
    </w:tbl>
    <w:p>
      <w:pPr>
        <w:pStyle w:val="BodyText"/>
        <w:spacing w:before="7"/>
        <w:rPr>
          <w:sz w:val="20"/>
        </w:rPr>
      </w:pPr>
    </w:p>
    <w:tbl>
      <w:tblPr>
        <w:tblW w:w="0" w:type="auto"/>
        <w:jc w:val="left"/>
        <w:tblInd w:w="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00"/>
        <w:gridCol w:w="874"/>
        <w:gridCol w:w="7514"/>
      </w:tblGrid>
      <w:tr>
        <w:trPr>
          <w:trHeight w:val="723" w:hRule="atLeast"/>
        </w:trPr>
        <w:tc>
          <w:tcPr>
            <w:tcW w:w="700" w:type="dxa"/>
            <w:vMerge w:val="restart"/>
            <w:tcBorders>
              <w:right w:val="dotted" w:sz="6" w:space="0" w:color="6C6C6C"/>
            </w:tcBorders>
            <w:shd w:val="clear" w:color="auto" w:fill="F79546"/>
          </w:tcPr>
          <w:p>
            <w:pPr>
              <w:pStyle w:val="TableParagraph"/>
              <w:rPr>
                <w:sz w:val="22"/>
              </w:rPr>
            </w:pPr>
          </w:p>
          <w:p>
            <w:pPr>
              <w:pStyle w:val="TableParagraph"/>
              <w:rPr>
                <w:sz w:val="22"/>
              </w:rPr>
            </w:pPr>
          </w:p>
          <w:p>
            <w:pPr>
              <w:pStyle w:val="TableParagraph"/>
              <w:spacing w:before="7"/>
              <w:rPr>
                <w:sz w:val="20"/>
              </w:rPr>
            </w:pPr>
          </w:p>
          <w:p>
            <w:pPr>
              <w:pStyle w:val="TableParagraph"/>
              <w:spacing w:line="242" w:lineRule="auto"/>
              <w:ind w:left="74" w:right="174"/>
              <w:rPr>
                <w:sz w:val="22"/>
              </w:rPr>
            </w:pPr>
            <w:r>
              <w:rPr>
                <w:color w:val="FFFFFF"/>
                <w:sz w:val="22"/>
              </w:rPr>
              <w:t>环节四</w:t>
            </w:r>
          </w:p>
        </w:tc>
        <w:tc>
          <w:tcPr>
            <w:tcW w:w="874" w:type="dxa"/>
            <w:tcBorders>
              <w:left w:val="dotted" w:sz="6" w:space="0" w:color="6C6C6C"/>
              <w:right w:val="dotted" w:sz="6" w:space="0" w:color="6C6C6C"/>
            </w:tcBorders>
            <w:shd w:val="clear" w:color="auto" w:fill="F79546"/>
          </w:tcPr>
          <w:p>
            <w:pPr>
              <w:pStyle w:val="TableParagraph"/>
              <w:spacing w:before="88"/>
              <w:ind w:left="67" w:right="347"/>
              <w:rPr>
                <w:sz w:val="22"/>
              </w:rPr>
            </w:pPr>
            <w:r>
              <w:rPr>
                <w:color w:val="FFFFFF"/>
                <w:sz w:val="22"/>
              </w:rPr>
              <w:t>情境设计</w:t>
            </w:r>
          </w:p>
        </w:tc>
        <w:tc>
          <w:tcPr>
            <w:tcW w:w="7514" w:type="dxa"/>
            <w:tcBorders>
              <w:left w:val="dotted" w:sz="6" w:space="0" w:color="6C6C6C"/>
            </w:tcBorders>
            <w:shd w:val="clear" w:color="auto" w:fill="F79546"/>
          </w:tcPr>
          <w:p>
            <w:pPr>
              <w:pStyle w:val="TableParagraph"/>
              <w:spacing w:before="11"/>
              <w:rPr>
                <w:sz w:val="17"/>
              </w:rPr>
            </w:pPr>
          </w:p>
          <w:p>
            <w:pPr>
              <w:pStyle w:val="TableParagraph"/>
              <w:ind w:left="66"/>
              <w:rPr>
                <w:sz w:val="22"/>
              </w:rPr>
            </w:pPr>
            <w:r>
              <w:rPr>
                <w:color w:val="FFFFFF"/>
                <w:sz w:val="22"/>
              </w:rPr>
              <w:t>继续播放</w:t>
            </w:r>
            <w:r>
              <w:rPr>
                <w:rFonts w:ascii="Times New Roman" w:hAnsi="Times New Roman" w:eastAsia="Times New Roman"/>
                <w:color w:val="FFFFFF"/>
                <w:sz w:val="22"/>
              </w:rPr>
              <w:t>“</w:t>
            </w:r>
            <w:r>
              <w:rPr>
                <w:color w:val="FFFFFF"/>
                <w:sz w:val="22"/>
              </w:rPr>
              <w:t>大国工匠</w:t>
            </w:r>
            <w:r>
              <w:rPr>
                <w:rFonts w:ascii="Times New Roman" w:hAnsi="Times New Roman" w:eastAsia="Times New Roman"/>
                <w:color w:val="FFFFFF"/>
                <w:sz w:val="22"/>
              </w:rPr>
              <w:t>”</w:t>
            </w:r>
            <w:r>
              <w:rPr>
                <w:color w:val="FFFFFF"/>
                <w:sz w:val="22"/>
              </w:rPr>
              <w:t>片段。</w:t>
            </w:r>
          </w:p>
        </w:tc>
      </w:tr>
      <w:tr>
        <w:trPr>
          <w:trHeight w:val="727" w:hRule="atLeast"/>
        </w:trPr>
        <w:tc>
          <w:tcPr>
            <w:tcW w:w="700" w:type="dxa"/>
            <w:vMerge/>
            <w:tcBorders>
              <w:top w:val="nil"/>
              <w:right w:val="dotted" w:sz="6" w:space="0" w:color="6C6C6C"/>
            </w:tcBorders>
            <w:shd w:val="clear" w:color="auto" w:fill="F79546"/>
          </w:tcPr>
          <w:p>
            <w:pPr>
              <w:rPr>
                <w:sz w:val="2"/>
                <w:szCs w:val="2"/>
              </w:rPr>
            </w:pPr>
          </w:p>
        </w:tc>
        <w:tc>
          <w:tcPr>
            <w:tcW w:w="874" w:type="dxa"/>
            <w:tcBorders>
              <w:top w:val="single" w:sz="8" w:space="0" w:color="F79546"/>
              <w:left w:val="dotted" w:sz="6" w:space="0" w:color="6C6C6C"/>
              <w:bottom w:val="single" w:sz="8" w:space="0" w:color="F79546"/>
              <w:right w:val="dotted" w:sz="6" w:space="0" w:color="6C6C6C"/>
            </w:tcBorders>
          </w:tcPr>
          <w:p>
            <w:pPr>
              <w:pStyle w:val="TableParagraph"/>
              <w:spacing w:line="242" w:lineRule="auto" w:before="84"/>
              <w:ind w:left="67" w:right="347"/>
              <w:rPr>
                <w:sz w:val="22"/>
              </w:rPr>
            </w:pPr>
            <w:r>
              <w:rPr>
                <w:sz w:val="22"/>
              </w:rPr>
              <w:t>任务设计</w:t>
            </w:r>
          </w:p>
        </w:tc>
        <w:tc>
          <w:tcPr>
            <w:tcW w:w="7514" w:type="dxa"/>
            <w:tcBorders>
              <w:top w:val="single" w:sz="8" w:space="0" w:color="F79546"/>
              <w:left w:val="dotted" w:sz="6" w:space="0" w:color="6C6C6C"/>
              <w:bottom w:val="single" w:sz="8" w:space="0" w:color="F79546"/>
              <w:right w:val="single" w:sz="8" w:space="0" w:color="F79546"/>
            </w:tcBorders>
          </w:tcPr>
          <w:p>
            <w:pPr>
              <w:pStyle w:val="TableParagraph"/>
              <w:spacing w:before="84"/>
              <w:ind w:left="66"/>
              <w:rPr>
                <w:sz w:val="22"/>
              </w:rPr>
            </w:pPr>
            <w:r>
              <w:rPr>
                <w:sz w:val="22"/>
              </w:rPr>
              <w:t>“探究提升”</w:t>
            </w:r>
          </w:p>
          <w:p>
            <w:pPr>
              <w:pStyle w:val="TableParagraph"/>
              <w:spacing w:before="3"/>
              <w:ind w:left="66"/>
              <w:rPr>
                <w:sz w:val="22"/>
              </w:rPr>
            </w:pPr>
            <w:r>
              <w:rPr>
                <w:sz w:val="22"/>
              </w:rPr>
              <w:t>研究探讨：“工匠精神”基本内涵。</w:t>
            </w:r>
          </w:p>
        </w:tc>
      </w:tr>
      <w:tr>
        <w:trPr>
          <w:trHeight w:val="719" w:hRule="atLeast"/>
        </w:trPr>
        <w:tc>
          <w:tcPr>
            <w:tcW w:w="700" w:type="dxa"/>
            <w:vMerge/>
            <w:tcBorders>
              <w:top w:val="nil"/>
              <w:right w:val="dotted" w:sz="6" w:space="0" w:color="6C6C6C"/>
            </w:tcBorders>
            <w:shd w:val="clear" w:color="auto" w:fill="F79546"/>
          </w:tcPr>
          <w:p>
            <w:pPr>
              <w:rPr>
                <w:sz w:val="2"/>
                <w:szCs w:val="2"/>
              </w:rPr>
            </w:pPr>
          </w:p>
        </w:tc>
        <w:tc>
          <w:tcPr>
            <w:tcW w:w="874" w:type="dxa"/>
            <w:tcBorders>
              <w:top w:val="single" w:sz="8" w:space="0" w:color="F79546"/>
              <w:left w:val="dotted" w:sz="6" w:space="0" w:color="6C6C6C"/>
              <w:bottom w:val="single" w:sz="8" w:space="0" w:color="F79546"/>
              <w:right w:val="dotted" w:sz="6" w:space="0" w:color="6C6C6C"/>
            </w:tcBorders>
          </w:tcPr>
          <w:p>
            <w:pPr>
              <w:pStyle w:val="TableParagraph"/>
              <w:spacing w:line="242" w:lineRule="auto" w:before="77"/>
              <w:ind w:left="67" w:right="347"/>
              <w:rPr>
                <w:sz w:val="22"/>
              </w:rPr>
            </w:pPr>
            <w:r>
              <w:rPr>
                <w:sz w:val="22"/>
              </w:rPr>
              <w:t>评价设计</w:t>
            </w:r>
          </w:p>
        </w:tc>
        <w:tc>
          <w:tcPr>
            <w:tcW w:w="7514" w:type="dxa"/>
            <w:tcBorders>
              <w:top w:val="single" w:sz="8" w:space="0" w:color="F79546"/>
              <w:left w:val="dotted" w:sz="6" w:space="0" w:color="6C6C6C"/>
              <w:bottom w:val="single" w:sz="8" w:space="0" w:color="F79546"/>
              <w:right w:val="single" w:sz="8" w:space="0" w:color="F79546"/>
            </w:tcBorders>
          </w:tcPr>
          <w:p>
            <w:pPr>
              <w:pStyle w:val="TableParagraph"/>
              <w:spacing w:before="1"/>
              <w:rPr>
                <w:sz w:val="17"/>
              </w:rPr>
            </w:pPr>
          </w:p>
          <w:p>
            <w:pPr>
              <w:pStyle w:val="TableParagraph"/>
              <w:ind w:left="66"/>
              <w:rPr>
                <w:sz w:val="22"/>
              </w:rPr>
            </w:pPr>
            <w:r>
              <w:rPr>
                <w:sz w:val="22"/>
              </w:rPr>
              <w:t>侧重于对学习共同体的评估，主要维度如下表：</w:t>
            </w:r>
          </w:p>
        </w:tc>
      </w:tr>
    </w:tbl>
    <w:p>
      <w:pPr>
        <w:spacing w:after="0"/>
        <w:rPr>
          <w:sz w:val="22"/>
        </w:rPr>
        <w:sectPr>
          <w:pgSz w:w="11900" w:h="16840"/>
          <w:pgMar w:header="0" w:footer="655" w:top="1420" w:bottom="840" w:left="700" w:right="1200"/>
        </w:sectPr>
      </w:pPr>
    </w:p>
    <w:tbl>
      <w:tblPr>
        <w:tblW w:w="0" w:type="auto"/>
        <w:jc w:val="left"/>
        <w:tblInd w:w="639" w:type="dxa"/>
        <w:tblBorders>
          <w:top w:val="single" w:sz="8" w:space="0" w:color="F79546"/>
          <w:left w:val="single" w:sz="8" w:space="0" w:color="F79546"/>
          <w:bottom w:val="single" w:sz="8" w:space="0" w:color="F79546"/>
          <w:right w:val="single" w:sz="8" w:space="0" w:color="F79546"/>
          <w:insideH w:val="single" w:sz="8" w:space="0" w:color="F79546"/>
          <w:insideV w:val="single" w:sz="8" w:space="0" w:color="F79546"/>
        </w:tblBorders>
        <w:tblLayout w:type="fixed"/>
        <w:tblCellMar>
          <w:top w:w="0" w:type="dxa"/>
          <w:left w:w="0" w:type="dxa"/>
          <w:bottom w:w="0" w:type="dxa"/>
          <w:right w:w="0" w:type="dxa"/>
        </w:tblCellMar>
        <w:tblLook w:val="01E0"/>
      </w:tblPr>
      <w:tblGrid>
        <w:gridCol w:w="710"/>
        <w:gridCol w:w="874"/>
        <w:gridCol w:w="7514"/>
      </w:tblGrid>
      <w:tr>
        <w:trPr>
          <w:trHeight w:val="1935" w:hRule="atLeast"/>
        </w:trPr>
        <w:tc>
          <w:tcPr>
            <w:tcW w:w="710" w:type="dxa"/>
            <w:vMerge w:val="restart"/>
            <w:tcBorders>
              <w:top w:val="nil"/>
              <w:left w:val="nil"/>
              <w:bottom w:val="nil"/>
              <w:right w:val="dotted" w:sz="6" w:space="0" w:color="6C6C6C"/>
            </w:tcBorders>
            <w:shd w:val="clear" w:color="auto" w:fill="F79546"/>
          </w:tcPr>
          <w:p>
            <w:pPr>
              <w:pStyle w:val="TableParagraph"/>
              <w:rPr>
                <w:rFonts w:ascii="Times New Roman"/>
                <w:sz w:val="20"/>
              </w:rPr>
            </w:pPr>
          </w:p>
        </w:tc>
        <w:tc>
          <w:tcPr>
            <w:tcW w:w="874" w:type="dxa"/>
            <w:tcBorders>
              <w:left w:val="dotted" w:sz="6" w:space="0" w:color="6C6C6C"/>
              <w:right w:val="dotted" w:sz="6" w:space="0" w:color="6C6C6C"/>
            </w:tcBorders>
          </w:tcPr>
          <w:p>
            <w:pPr>
              <w:pStyle w:val="TableParagraph"/>
              <w:rPr>
                <w:rFonts w:ascii="Times New Roman"/>
                <w:sz w:val="20"/>
              </w:rPr>
            </w:pPr>
          </w:p>
        </w:tc>
        <w:tc>
          <w:tcPr>
            <w:tcW w:w="7514" w:type="dxa"/>
            <w:tcBorders>
              <w:left w:val="dotted" w:sz="6" w:space="0" w:color="6C6C6C"/>
            </w:tcBorders>
          </w:tcPr>
          <w:p>
            <w:pPr>
              <w:pStyle w:val="TableParagraph"/>
              <w:spacing w:before="12"/>
              <w:rPr>
                <w:sz w:val="5"/>
              </w:rPr>
            </w:pPr>
          </w:p>
          <w:p>
            <w:pPr>
              <w:pStyle w:val="TableParagraph"/>
              <w:ind w:left="1033"/>
              <w:rPr>
                <w:sz w:val="20"/>
              </w:rPr>
            </w:pPr>
            <w:r>
              <w:rPr>
                <w:sz w:val="20"/>
              </w:rPr>
              <w:drawing>
                <wp:inline distT="0" distB="0" distL="0" distR="0">
                  <wp:extent cx="3370302" cy="914400"/>
                  <wp:effectExtent l="0" t="0" r="0" b="0"/>
                  <wp:docPr id="37" name="image17.png"/>
                  <wp:cNvGraphicFramePr>
                    <a:graphicFrameLocks noChangeAspect="1"/>
                  </wp:cNvGraphicFramePr>
                  <a:graphic>
                    <a:graphicData uri="http://schemas.openxmlformats.org/drawingml/2006/picture">
                      <pic:pic>
                        <pic:nvPicPr>
                          <pic:cNvPr id="38" name="image17.png"/>
                          <pic:cNvPicPr/>
                        </pic:nvPicPr>
                        <pic:blipFill>
                          <a:blip r:embed="rId24" cstate="print"/>
                          <a:stretch>
                            <a:fillRect/>
                          </a:stretch>
                        </pic:blipFill>
                        <pic:spPr>
                          <a:xfrm>
                            <a:off x="0" y="0"/>
                            <a:ext cx="3370302" cy="914400"/>
                          </a:xfrm>
                          <a:prstGeom prst="rect">
                            <a:avLst/>
                          </a:prstGeom>
                        </pic:spPr>
                      </pic:pic>
                    </a:graphicData>
                  </a:graphic>
                </wp:inline>
              </w:drawing>
            </w:r>
            <w:r>
              <w:rPr>
                <w:sz w:val="20"/>
              </w:rPr>
            </w:r>
          </w:p>
          <w:p>
            <w:pPr>
              <w:pStyle w:val="TableParagraph"/>
              <w:spacing w:before="62"/>
              <w:ind w:left="66"/>
              <w:rPr>
                <w:sz w:val="22"/>
              </w:rPr>
            </w:pPr>
            <w:r>
              <w:rPr>
                <w:sz w:val="22"/>
              </w:rPr>
              <w:t>（等级为</w:t>
            </w:r>
            <w:r>
              <w:rPr>
                <w:rFonts w:ascii="Times New Roman" w:eastAsia="Times New Roman"/>
                <w:sz w:val="22"/>
              </w:rPr>
              <w:t>A</w:t>
            </w:r>
            <w:r>
              <w:rPr>
                <w:sz w:val="22"/>
              </w:rPr>
              <w:t>、</w:t>
            </w:r>
            <w:r>
              <w:rPr>
                <w:rFonts w:ascii="Times New Roman" w:eastAsia="Times New Roman"/>
                <w:sz w:val="22"/>
              </w:rPr>
              <w:t>B</w:t>
            </w:r>
            <w:r>
              <w:rPr>
                <w:sz w:val="22"/>
              </w:rPr>
              <w:t>、</w:t>
            </w:r>
            <w:r>
              <w:rPr>
                <w:rFonts w:ascii="Times New Roman" w:eastAsia="Times New Roman"/>
                <w:sz w:val="22"/>
              </w:rPr>
              <w:t>C</w:t>
            </w:r>
            <w:r>
              <w:rPr>
                <w:sz w:val="22"/>
              </w:rPr>
              <w:t>、</w:t>
            </w:r>
            <w:r>
              <w:rPr>
                <w:rFonts w:ascii="Times New Roman" w:eastAsia="Times New Roman"/>
                <w:sz w:val="22"/>
              </w:rPr>
              <w:t>D</w:t>
            </w:r>
            <w:r>
              <w:rPr>
                <w:sz w:val="22"/>
              </w:rPr>
              <w:t>）</w:t>
            </w:r>
          </w:p>
        </w:tc>
      </w:tr>
      <w:tr>
        <w:trPr>
          <w:trHeight w:val="720" w:hRule="atLeast"/>
        </w:trPr>
        <w:tc>
          <w:tcPr>
            <w:tcW w:w="710" w:type="dxa"/>
            <w:vMerge/>
            <w:tcBorders>
              <w:top w:val="nil"/>
              <w:left w:val="nil"/>
              <w:bottom w:val="nil"/>
              <w:right w:val="dotted" w:sz="6" w:space="0" w:color="6C6C6C"/>
            </w:tcBorders>
            <w:shd w:val="clear" w:color="auto" w:fill="F79546"/>
          </w:tcPr>
          <w:p>
            <w:pPr>
              <w:rPr>
                <w:sz w:val="2"/>
                <w:szCs w:val="2"/>
              </w:rPr>
            </w:pPr>
          </w:p>
        </w:tc>
        <w:tc>
          <w:tcPr>
            <w:tcW w:w="874" w:type="dxa"/>
            <w:tcBorders>
              <w:left w:val="dotted" w:sz="6" w:space="0" w:color="6C6C6C"/>
              <w:right w:val="dotted" w:sz="6" w:space="0" w:color="6C6C6C"/>
            </w:tcBorders>
          </w:tcPr>
          <w:p>
            <w:pPr>
              <w:pStyle w:val="TableParagraph"/>
              <w:spacing w:line="242" w:lineRule="auto" w:before="76"/>
              <w:ind w:left="66" w:right="348"/>
              <w:rPr>
                <w:sz w:val="22"/>
              </w:rPr>
            </w:pPr>
            <w:r>
              <w:rPr>
                <w:sz w:val="22"/>
              </w:rPr>
              <w:t>设计意图</w:t>
            </w:r>
          </w:p>
        </w:tc>
        <w:tc>
          <w:tcPr>
            <w:tcW w:w="7514" w:type="dxa"/>
            <w:tcBorders>
              <w:left w:val="dotted" w:sz="6" w:space="0" w:color="6C6C6C"/>
            </w:tcBorders>
          </w:tcPr>
          <w:p>
            <w:pPr>
              <w:pStyle w:val="TableParagraph"/>
              <w:rPr>
                <w:sz w:val="17"/>
              </w:rPr>
            </w:pPr>
          </w:p>
          <w:p>
            <w:pPr>
              <w:pStyle w:val="TableParagraph"/>
              <w:ind w:left="66"/>
              <w:rPr>
                <w:sz w:val="22"/>
              </w:rPr>
            </w:pPr>
            <w:r>
              <w:rPr>
                <w:sz w:val="22"/>
              </w:rPr>
              <w:t>通过研讨，培养学生抽象思维能力，并概括出</w:t>
            </w:r>
            <w:r>
              <w:rPr>
                <w:rFonts w:ascii="Times New Roman" w:hAnsi="Times New Roman" w:eastAsia="Times New Roman"/>
                <w:sz w:val="22"/>
              </w:rPr>
              <w:t>“</w:t>
            </w:r>
            <w:r>
              <w:rPr>
                <w:sz w:val="22"/>
              </w:rPr>
              <w:t>工匠精神</w:t>
            </w:r>
            <w:r>
              <w:rPr>
                <w:rFonts w:ascii="Times New Roman" w:hAnsi="Times New Roman" w:eastAsia="Times New Roman"/>
                <w:sz w:val="22"/>
              </w:rPr>
              <w:t>”</w:t>
            </w:r>
            <w:r>
              <w:rPr>
                <w:sz w:val="22"/>
              </w:rPr>
              <w:t>的基本内涵。</w:t>
            </w:r>
          </w:p>
        </w:tc>
      </w:tr>
    </w:tbl>
    <w:p>
      <w:pPr>
        <w:pStyle w:val="BodyText"/>
        <w:spacing w:before="7"/>
        <w:rPr>
          <w:sz w:val="20"/>
        </w:rPr>
      </w:pPr>
    </w:p>
    <w:tbl>
      <w:tblPr>
        <w:tblW w:w="0" w:type="auto"/>
        <w:jc w:val="left"/>
        <w:tblInd w:w="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12"/>
        <w:gridCol w:w="796"/>
        <w:gridCol w:w="7149"/>
      </w:tblGrid>
      <w:tr>
        <w:trPr>
          <w:trHeight w:val="731" w:hRule="atLeast"/>
        </w:trPr>
        <w:tc>
          <w:tcPr>
            <w:tcW w:w="1012" w:type="dxa"/>
            <w:vMerge w:val="restart"/>
            <w:tcBorders>
              <w:right w:val="dotted" w:sz="6" w:space="0" w:color="6C6C6C"/>
            </w:tcBorders>
            <w:shd w:val="clear" w:color="auto" w:fill="F79546"/>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9"/>
              <w:rPr>
                <w:sz w:val="16"/>
              </w:rPr>
            </w:pPr>
          </w:p>
          <w:p>
            <w:pPr>
              <w:pStyle w:val="TableParagraph"/>
              <w:ind w:left="74"/>
              <w:rPr>
                <w:sz w:val="22"/>
              </w:rPr>
            </w:pPr>
            <w:r>
              <w:rPr>
                <w:color w:val="FFFFFF"/>
                <w:sz w:val="22"/>
              </w:rPr>
              <w:t>环节五</w:t>
            </w:r>
          </w:p>
        </w:tc>
        <w:tc>
          <w:tcPr>
            <w:tcW w:w="796" w:type="dxa"/>
            <w:tcBorders>
              <w:left w:val="dotted" w:sz="6" w:space="0" w:color="6C6C6C"/>
              <w:right w:val="dotted" w:sz="6" w:space="0" w:color="6C6C6C"/>
            </w:tcBorders>
            <w:shd w:val="clear" w:color="auto" w:fill="F79546"/>
          </w:tcPr>
          <w:p>
            <w:pPr>
              <w:pStyle w:val="TableParagraph"/>
              <w:spacing w:line="242" w:lineRule="auto" w:before="85"/>
              <w:ind w:left="67" w:right="269"/>
              <w:rPr>
                <w:sz w:val="22"/>
              </w:rPr>
            </w:pPr>
            <w:r>
              <w:rPr>
                <w:color w:val="FFFFFF"/>
                <w:sz w:val="22"/>
              </w:rPr>
              <w:t>情境设计</w:t>
            </w:r>
          </w:p>
        </w:tc>
        <w:tc>
          <w:tcPr>
            <w:tcW w:w="7149" w:type="dxa"/>
            <w:tcBorders>
              <w:left w:val="dotted" w:sz="6" w:space="0" w:color="6C6C6C"/>
            </w:tcBorders>
            <w:shd w:val="clear" w:color="auto" w:fill="F79546"/>
          </w:tcPr>
          <w:p>
            <w:pPr>
              <w:pStyle w:val="TableParagraph"/>
              <w:spacing w:before="9"/>
              <w:rPr>
                <w:sz w:val="17"/>
              </w:rPr>
            </w:pPr>
          </w:p>
          <w:p>
            <w:pPr>
              <w:pStyle w:val="TableParagraph"/>
              <w:ind w:left="68"/>
              <w:rPr>
                <w:sz w:val="22"/>
              </w:rPr>
            </w:pPr>
            <w:r>
              <w:rPr>
                <w:color w:val="FFFFFF"/>
                <w:sz w:val="22"/>
              </w:rPr>
              <w:t>继续播放</w:t>
            </w:r>
            <w:r>
              <w:rPr>
                <w:rFonts w:ascii="Times New Roman" w:hAnsi="Times New Roman" w:eastAsia="Times New Roman"/>
                <w:color w:val="FFFFFF"/>
                <w:sz w:val="22"/>
              </w:rPr>
              <w:t>“</w:t>
            </w:r>
            <w:r>
              <w:rPr>
                <w:color w:val="FFFFFF"/>
                <w:sz w:val="22"/>
              </w:rPr>
              <w:t>大国工匠</w:t>
            </w:r>
            <w:r>
              <w:rPr>
                <w:rFonts w:ascii="Times New Roman" w:hAnsi="Times New Roman" w:eastAsia="Times New Roman"/>
                <w:color w:val="FFFFFF"/>
                <w:sz w:val="22"/>
              </w:rPr>
              <w:t>”</w:t>
            </w:r>
            <w:r>
              <w:rPr>
                <w:color w:val="FFFFFF"/>
                <w:sz w:val="22"/>
              </w:rPr>
              <w:t>片段。</w:t>
            </w:r>
          </w:p>
        </w:tc>
      </w:tr>
      <w:tr>
        <w:trPr>
          <w:trHeight w:val="720" w:hRule="atLeast"/>
        </w:trPr>
        <w:tc>
          <w:tcPr>
            <w:tcW w:w="1012" w:type="dxa"/>
            <w:vMerge/>
            <w:tcBorders>
              <w:top w:val="nil"/>
              <w:right w:val="dotted" w:sz="6" w:space="0" w:color="6C6C6C"/>
            </w:tcBorders>
            <w:shd w:val="clear" w:color="auto" w:fill="F79546"/>
          </w:tcPr>
          <w:p>
            <w:pPr>
              <w:rPr>
                <w:sz w:val="2"/>
                <w:szCs w:val="2"/>
              </w:rPr>
            </w:pPr>
          </w:p>
        </w:tc>
        <w:tc>
          <w:tcPr>
            <w:tcW w:w="796" w:type="dxa"/>
            <w:tcBorders>
              <w:top w:val="single" w:sz="8" w:space="0" w:color="F79546"/>
              <w:left w:val="dotted" w:sz="6" w:space="0" w:color="6C6C6C"/>
              <w:bottom w:val="single" w:sz="8" w:space="0" w:color="F79546"/>
              <w:right w:val="dotted" w:sz="6" w:space="0" w:color="6C6C6C"/>
            </w:tcBorders>
          </w:tcPr>
          <w:p>
            <w:pPr>
              <w:pStyle w:val="TableParagraph"/>
              <w:spacing w:line="242" w:lineRule="auto" w:before="76"/>
              <w:ind w:left="67" w:right="269"/>
              <w:rPr>
                <w:sz w:val="22"/>
              </w:rPr>
            </w:pPr>
            <w:r>
              <w:rPr>
                <w:sz w:val="22"/>
              </w:rPr>
              <w:t>任务设计</w:t>
            </w:r>
          </w:p>
        </w:tc>
        <w:tc>
          <w:tcPr>
            <w:tcW w:w="7149" w:type="dxa"/>
            <w:tcBorders>
              <w:top w:val="single" w:sz="8" w:space="0" w:color="F79546"/>
              <w:left w:val="dotted" w:sz="6" w:space="0" w:color="6C6C6C"/>
              <w:bottom w:val="single" w:sz="8" w:space="0" w:color="F79546"/>
              <w:right w:val="single" w:sz="8" w:space="0" w:color="F79546"/>
            </w:tcBorders>
          </w:tcPr>
          <w:p>
            <w:pPr>
              <w:pStyle w:val="TableParagraph"/>
              <w:spacing w:before="76"/>
              <w:ind w:left="68"/>
              <w:rPr>
                <w:sz w:val="22"/>
              </w:rPr>
            </w:pPr>
            <w:r>
              <w:rPr>
                <w:sz w:val="22"/>
              </w:rPr>
              <w:t>“研讨深化”</w:t>
            </w:r>
          </w:p>
          <w:p>
            <w:pPr>
              <w:pStyle w:val="TableParagraph"/>
              <w:spacing w:before="4"/>
              <w:ind w:left="68"/>
              <w:rPr>
                <w:sz w:val="22"/>
              </w:rPr>
            </w:pPr>
            <w:r>
              <w:rPr>
                <w:sz w:val="22"/>
              </w:rPr>
              <w:t>讨论：今天我们需要</w:t>
            </w:r>
            <w:r>
              <w:rPr>
                <w:rFonts w:ascii="Times New Roman" w:hAnsi="Times New Roman" w:eastAsia="Times New Roman"/>
                <w:sz w:val="22"/>
              </w:rPr>
              <w:t>“</w:t>
            </w:r>
            <w:r>
              <w:rPr>
                <w:sz w:val="22"/>
              </w:rPr>
              <w:t>工匠精神</w:t>
            </w:r>
            <w:r>
              <w:rPr>
                <w:rFonts w:ascii="Times New Roman" w:hAnsi="Times New Roman" w:eastAsia="Times New Roman"/>
                <w:sz w:val="22"/>
              </w:rPr>
              <w:t>”</w:t>
            </w:r>
            <w:r>
              <w:rPr>
                <w:sz w:val="22"/>
              </w:rPr>
              <w:t>吗？</w:t>
            </w:r>
          </w:p>
        </w:tc>
      </w:tr>
      <w:tr>
        <w:trPr>
          <w:trHeight w:val="720" w:hRule="atLeast"/>
        </w:trPr>
        <w:tc>
          <w:tcPr>
            <w:tcW w:w="1012" w:type="dxa"/>
            <w:vMerge/>
            <w:tcBorders>
              <w:top w:val="nil"/>
              <w:right w:val="dotted" w:sz="6" w:space="0" w:color="6C6C6C"/>
            </w:tcBorders>
            <w:shd w:val="clear" w:color="auto" w:fill="F79546"/>
          </w:tcPr>
          <w:p>
            <w:pPr>
              <w:rPr>
                <w:sz w:val="2"/>
                <w:szCs w:val="2"/>
              </w:rPr>
            </w:pPr>
          </w:p>
        </w:tc>
        <w:tc>
          <w:tcPr>
            <w:tcW w:w="796" w:type="dxa"/>
            <w:tcBorders>
              <w:top w:val="single" w:sz="8" w:space="0" w:color="F79546"/>
              <w:left w:val="dotted" w:sz="6" w:space="0" w:color="6C6C6C"/>
              <w:bottom w:val="single" w:sz="8" w:space="0" w:color="F79546"/>
              <w:right w:val="dotted" w:sz="6" w:space="0" w:color="6C6C6C"/>
            </w:tcBorders>
          </w:tcPr>
          <w:p>
            <w:pPr>
              <w:pStyle w:val="TableParagraph"/>
              <w:spacing w:line="242" w:lineRule="auto" w:before="77"/>
              <w:ind w:left="67" w:right="269"/>
              <w:rPr>
                <w:sz w:val="22"/>
              </w:rPr>
            </w:pPr>
            <w:r>
              <w:rPr>
                <w:sz w:val="22"/>
              </w:rPr>
              <w:t>评价设计</w:t>
            </w:r>
          </w:p>
        </w:tc>
        <w:tc>
          <w:tcPr>
            <w:tcW w:w="7149" w:type="dxa"/>
            <w:tcBorders>
              <w:top w:val="single" w:sz="8" w:space="0" w:color="F79546"/>
              <w:left w:val="dotted" w:sz="6" w:space="0" w:color="6C6C6C"/>
              <w:bottom w:val="single" w:sz="8" w:space="0" w:color="F79546"/>
              <w:right w:val="single" w:sz="8" w:space="0" w:color="F79546"/>
            </w:tcBorders>
          </w:tcPr>
          <w:p>
            <w:pPr>
              <w:pStyle w:val="TableParagraph"/>
              <w:numPr>
                <w:ilvl w:val="0"/>
                <w:numId w:val="6"/>
              </w:numPr>
              <w:tabs>
                <w:tab w:pos="203" w:val="left" w:leader="none"/>
              </w:tabs>
              <w:spacing w:line="240" w:lineRule="auto" w:before="77" w:after="0"/>
              <w:ind w:left="202" w:right="0" w:hanging="135"/>
              <w:jc w:val="left"/>
              <w:rPr>
                <w:sz w:val="22"/>
              </w:rPr>
            </w:pPr>
            <w:r>
              <w:rPr>
                <w:spacing w:val="-3"/>
                <w:sz w:val="22"/>
              </w:rPr>
              <w:t>联系材料流畅表达自己的观点。</w:t>
            </w:r>
          </w:p>
          <w:p>
            <w:pPr>
              <w:pStyle w:val="TableParagraph"/>
              <w:numPr>
                <w:ilvl w:val="0"/>
                <w:numId w:val="6"/>
              </w:numPr>
              <w:tabs>
                <w:tab w:pos="203" w:val="left" w:leader="none"/>
              </w:tabs>
              <w:spacing w:line="240" w:lineRule="auto" w:before="4" w:after="0"/>
              <w:ind w:left="202" w:right="0" w:hanging="135"/>
              <w:jc w:val="left"/>
              <w:rPr>
                <w:sz w:val="22"/>
              </w:rPr>
            </w:pPr>
            <w:r>
              <w:rPr>
                <w:spacing w:val="-3"/>
                <w:sz w:val="22"/>
              </w:rPr>
              <w:t>关注学生的思想深度，思维的发散。</w:t>
            </w:r>
          </w:p>
        </w:tc>
      </w:tr>
      <w:tr>
        <w:trPr>
          <w:trHeight w:val="1291" w:hRule="atLeast"/>
        </w:trPr>
        <w:tc>
          <w:tcPr>
            <w:tcW w:w="1012" w:type="dxa"/>
            <w:vMerge/>
            <w:tcBorders>
              <w:top w:val="nil"/>
              <w:right w:val="dotted" w:sz="6" w:space="0" w:color="6C6C6C"/>
            </w:tcBorders>
            <w:shd w:val="clear" w:color="auto" w:fill="F79546"/>
          </w:tcPr>
          <w:p>
            <w:pPr>
              <w:rPr>
                <w:sz w:val="2"/>
                <w:szCs w:val="2"/>
              </w:rPr>
            </w:pPr>
          </w:p>
        </w:tc>
        <w:tc>
          <w:tcPr>
            <w:tcW w:w="796" w:type="dxa"/>
            <w:tcBorders>
              <w:top w:val="single" w:sz="8" w:space="0" w:color="F79546"/>
              <w:left w:val="dotted" w:sz="6" w:space="0" w:color="6C6C6C"/>
              <w:bottom w:val="single" w:sz="8" w:space="0" w:color="F79546"/>
              <w:right w:val="dotted" w:sz="6" w:space="0" w:color="6C6C6C"/>
            </w:tcBorders>
          </w:tcPr>
          <w:p>
            <w:pPr>
              <w:pStyle w:val="TableParagraph"/>
              <w:spacing w:before="2"/>
              <w:rPr>
                <w:sz w:val="28"/>
              </w:rPr>
            </w:pPr>
          </w:p>
          <w:p>
            <w:pPr>
              <w:pStyle w:val="TableParagraph"/>
              <w:spacing w:line="242" w:lineRule="auto" w:before="1"/>
              <w:ind w:left="67" w:right="269"/>
              <w:rPr>
                <w:sz w:val="22"/>
              </w:rPr>
            </w:pPr>
            <w:r>
              <w:rPr>
                <w:sz w:val="22"/>
              </w:rPr>
              <w:t>设计意图</w:t>
            </w:r>
          </w:p>
        </w:tc>
        <w:tc>
          <w:tcPr>
            <w:tcW w:w="7149" w:type="dxa"/>
            <w:tcBorders>
              <w:top w:val="single" w:sz="8" w:space="0" w:color="F79546"/>
              <w:left w:val="dotted" w:sz="6" w:space="0" w:color="6C6C6C"/>
              <w:bottom w:val="single" w:sz="8" w:space="0" w:color="F79546"/>
              <w:right w:val="single" w:sz="8" w:space="0" w:color="F79546"/>
            </w:tcBorders>
          </w:tcPr>
          <w:p>
            <w:pPr>
              <w:pStyle w:val="TableParagraph"/>
              <w:spacing w:line="242" w:lineRule="auto" w:before="76"/>
              <w:ind w:left="68" w:right="240"/>
              <w:rPr>
                <w:sz w:val="22"/>
              </w:rPr>
            </w:pPr>
            <w:r>
              <w:rPr>
                <w:spacing w:val="-3"/>
                <w:sz w:val="22"/>
              </w:rPr>
              <w:t>这个环节的设计，目的是要让学生认识到通过学生对这个问题的讨论与思考，引导学生全面认识</w:t>
            </w:r>
            <w:r>
              <w:rPr>
                <w:rFonts w:ascii="Times New Roman" w:hAnsi="Times New Roman" w:eastAsia="Times New Roman"/>
                <w:spacing w:val="-3"/>
                <w:sz w:val="22"/>
              </w:rPr>
              <w:t>“</w:t>
            </w:r>
            <w:r>
              <w:rPr>
                <w:spacing w:val="-2"/>
                <w:sz w:val="22"/>
              </w:rPr>
              <w:t>工匠精神</w:t>
            </w:r>
            <w:r>
              <w:rPr>
                <w:rFonts w:ascii="Times New Roman" w:hAnsi="Times New Roman" w:eastAsia="Times New Roman"/>
                <w:sz w:val="22"/>
              </w:rPr>
              <w:t>”</w:t>
            </w:r>
            <w:r>
              <w:rPr>
                <w:spacing w:val="-3"/>
                <w:sz w:val="22"/>
              </w:rPr>
              <w:t>的现代价值：自我价值的实现、民族品牌的树立、制造强国的圆梦、正能量的传播、良好社会风气的形 成。</w:t>
            </w:r>
          </w:p>
        </w:tc>
      </w:tr>
    </w:tbl>
    <w:p>
      <w:pPr>
        <w:pStyle w:val="BodyText"/>
        <w:spacing w:before="7"/>
        <w:rPr>
          <w:sz w:val="20"/>
        </w:rPr>
      </w:pPr>
    </w:p>
    <w:tbl>
      <w:tblPr>
        <w:tblW w:w="0" w:type="auto"/>
        <w:jc w:val="left"/>
        <w:tblInd w:w="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13"/>
        <w:gridCol w:w="813"/>
        <w:gridCol w:w="7202"/>
      </w:tblGrid>
      <w:tr>
        <w:trPr>
          <w:trHeight w:val="723" w:hRule="atLeast"/>
        </w:trPr>
        <w:tc>
          <w:tcPr>
            <w:tcW w:w="1013" w:type="dxa"/>
            <w:vMerge w:val="restart"/>
            <w:tcBorders>
              <w:right w:val="dotted" w:sz="6" w:space="0" w:color="6C6C6C"/>
            </w:tcBorders>
            <w:shd w:val="clear" w:color="auto" w:fill="F79546"/>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9"/>
              <w:rPr>
                <w:sz w:val="27"/>
              </w:rPr>
            </w:pPr>
          </w:p>
          <w:p>
            <w:pPr>
              <w:pStyle w:val="TableParagraph"/>
              <w:ind w:left="74"/>
              <w:rPr>
                <w:sz w:val="22"/>
              </w:rPr>
            </w:pPr>
            <w:r>
              <w:rPr>
                <w:color w:val="FFFFFF"/>
                <w:sz w:val="22"/>
              </w:rPr>
              <w:t>环节六</w:t>
            </w:r>
          </w:p>
        </w:tc>
        <w:tc>
          <w:tcPr>
            <w:tcW w:w="813" w:type="dxa"/>
            <w:tcBorders>
              <w:left w:val="dotted" w:sz="6" w:space="0" w:color="6C6C6C"/>
              <w:right w:val="dotted" w:sz="6" w:space="0" w:color="6C6C6C"/>
            </w:tcBorders>
            <w:shd w:val="clear" w:color="auto" w:fill="F79546"/>
          </w:tcPr>
          <w:p>
            <w:pPr>
              <w:pStyle w:val="TableParagraph"/>
              <w:spacing w:before="88"/>
              <w:ind w:left="66" w:right="287"/>
              <w:rPr>
                <w:sz w:val="22"/>
              </w:rPr>
            </w:pPr>
            <w:r>
              <w:rPr>
                <w:color w:val="FFFFFF"/>
                <w:sz w:val="22"/>
              </w:rPr>
              <w:t>情境设计</w:t>
            </w:r>
          </w:p>
        </w:tc>
        <w:tc>
          <w:tcPr>
            <w:tcW w:w="7202" w:type="dxa"/>
            <w:tcBorders>
              <w:left w:val="dotted" w:sz="6" w:space="0" w:color="6C6C6C"/>
            </w:tcBorders>
            <w:shd w:val="clear" w:color="auto" w:fill="F79546"/>
          </w:tcPr>
          <w:p>
            <w:pPr>
              <w:pStyle w:val="TableParagraph"/>
              <w:spacing w:before="12"/>
              <w:rPr>
                <w:sz w:val="17"/>
              </w:rPr>
            </w:pPr>
          </w:p>
          <w:p>
            <w:pPr>
              <w:pStyle w:val="TableParagraph"/>
              <w:ind w:left="66"/>
              <w:rPr>
                <w:sz w:val="22"/>
              </w:rPr>
            </w:pPr>
            <w:r>
              <w:rPr>
                <w:color w:val="FFFFFF"/>
                <w:sz w:val="22"/>
              </w:rPr>
              <w:t>我离</w:t>
            </w:r>
            <w:r>
              <w:rPr>
                <w:rFonts w:ascii="Times New Roman" w:hAnsi="Times New Roman" w:eastAsia="Times New Roman"/>
                <w:color w:val="FFFFFF"/>
                <w:sz w:val="22"/>
              </w:rPr>
              <w:t>“</w:t>
            </w:r>
            <w:r>
              <w:rPr>
                <w:color w:val="FFFFFF"/>
                <w:sz w:val="22"/>
              </w:rPr>
              <w:t>工匠精神</w:t>
            </w:r>
            <w:r>
              <w:rPr>
                <w:rFonts w:ascii="Times New Roman" w:hAnsi="Times New Roman" w:eastAsia="Times New Roman"/>
                <w:color w:val="FFFFFF"/>
                <w:sz w:val="22"/>
              </w:rPr>
              <w:t>”</w:t>
            </w:r>
            <w:r>
              <w:rPr>
                <w:color w:val="FFFFFF"/>
                <w:sz w:val="22"/>
              </w:rPr>
              <w:t>有多远？</w:t>
            </w:r>
          </w:p>
        </w:tc>
      </w:tr>
      <w:tr>
        <w:trPr>
          <w:trHeight w:val="727" w:hRule="atLeast"/>
        </w:trPr>
        <w:tc>
          <w:tcPr>
            <w:tcW w:w="1013" w:type="dxa"/>
            <w:vMerge/>
            <w:tcBorders>
              <w:top w:val="nil"/>
              <w:right w:val="dotted" w:sz="6" w:space="0" w:color="6C6C6C"/>
            </w:tcBorders>
            <w:shd w:val="clear" w:color="auto" w:fill="F79546"/>
          </w:tcPr>
          <w:p>
            <w:pPr>
              <w:rPr>
                <w:sz w:val="2"/>
                <w:szCs w:val="2"/>
              </w:rPr>
            </w:pPr>
          </w:p>
        </w:tc>
        <w:tc>
          <w:tcPr>
            <w:tcW w:w="813" w:type="dxa"/>
            <w:tcBorders>
              <w:top w:val="single" w:sz="8" w:space="0" w:color="F79546"/>
              <w:left w:val="dotted" w:sz="6" w:space="0" w:color="6C6C6C"/>
              <w:bottom w:val="single" w:sz="8" w:space="0" w:color="F79546"/>
              <w:right w:val="dotted" w:sz="6" w:space="0" w:color="6C6C6C"/>
            </w:tcBorders>
          </w:tcPr>
          <w:p>
            <w:pPr>
              <w:pStyle w:val="TableParagraph"/>
              <w:spacing w:line="242" w:lineRule="auto" w:before="84"/>
              <w:ind w:left="66" w:right="287"/>
              <w:rPr>
                <w:sz w:val="22"/>
              </w:rPr>
            </w:pPr>
            <w:r>
              <w:rPr>
                <w:sz w:val="22"/>
              </w:rPr>
              <w:t>任务设计</w:t>
            </w:r>
          </w:p>
        </w:tc>
        <w:tc>
          <w:tcPr>
            <w:tcW w:w="7202" w:type="dxa"/>
            <w:tcBorders>
              <w:top w:val="single" w:sz="8" w:space="0" w:color="F79546"/>
              <w:left w:val="dotted" w:sz="6" w:space="0" w:color="6C6C6C"/>
              <w:bottom w:val="single" w:sz="8" w:space="0" w:color="F79546"/>
              <w:right w:val="single" w:sz="8" w:space="0" w:color="F79546"/>
            </w:tcBorders>
          </w:tcPr>
          <w:p>
            <w:pPr>
              <w:pStyle w:val="TableParagraph"/>
              <w:spacing w:before="84"/>
              <w:ind w:left="66"/>
              <w:rPr>
                <w:sz w:val="22"/>
              </w:rPr>
            </w:pPr>
            <w:r>
              <w:rPr>
                <w:sz w:val="22"/>
              </w:rPr>
              <w:t>“反思升华”</w:t>
            </w:r>
          </w:p>
          <w:p>
            <w:pPr>
              <w:pStyle w:val="TableParagraph"/>
              <w:spacing w:before="4"/>
              <w:ind w:left="66"/>
              <w:rPr>
                <w:sz w:val="22"/>
              </w:rPr>
            </w:pPr>
            <w:r>
              <w:rPr>
                <w:sz w:val="22"/>
              </w:rPr>
              <w:t>自由发言：学生联系现实和未来，谈“工匠精神”对自己成长的意义。</w:t>
            </w:r>
          </w:p>
        </w:tc>
      </w:tr>
      <w:tr>
        <w:trPr>
          <w:trHeight w:val="721" w:hRule="atLeast"/>
        </w:trPr>
        <w:tc>
          <w:tcPr>
            <w:tcW w:w="1013" w:type="dxa"/>
            <w:vMerge/>
            <w:tcBorders>
              <w:top w:val="nil"/>
              <w:right w:val="dotted" w:sz="6" w:space="0" w:color="6C6C6C"/>
            </w:tcBorders>
            <w:shd w:val="clear" w:color="auto" w:fill="F79546"/>
          </w:tcPr>
          <w:p>
            <w:pPr>
              <w:rPr>
                <w:sz w:val="2"/>
                <w:szCs w:val="2"/>
              </w:rPr>
            </w:pPr>
          </w:p>
        </w:tc>
        <w:tc>
          <w:tcPr>
            <w:tcW w:w="813" w:type="dxa"/>
            <w:tcBorders>
              <w:top w:val="single" w:sz="8" w:space="0" w:color="F79546"/>
              <w:left w:val="dotted" w:sz="6" w:space="0" w:color="6C6C6C"/>
              <w:bottom w:val="single" w:sz="8" w:space="0" w:color="F79546"/>
              <w:right w:val="dotted" w:sz="6" w:space="0" w:color="6C6C6C"/>
            </w:tcBorders>
          </w:tcPr>
          <w:p>
            <w:pPr>
              <w:pStyle w:val="TableParagraph"/>
              <w:spacing w:before="78"/>
              <w:ind w:left="66" w:right="287"/>
              <w:rPr>
                <w:sz w:val="22"/>
              </w:rPr>
            </w:pPr>
            <w:r>
              <w:rPr>
                <w:sz w:val="22"/>
              </w:rPr>
              <w:t>评价设计</w:t>
            </w:r>
          </w:p>
        </w:tc>
        <w:tc>
          <w:tcPr>
            <w:tcW w:w="7202" w:type="dxa"/>
            <w:tcBorders>
              <w:top w:val="single" w:sz="8" w:space="0" w:color="F79546"/>
              <w:left w:val="dotted" w:sz="6" w:space="0" w:color="6C6C6C"/>
              <w:bottom w:val="single" w:sz="8" w:space="0" w:color="F79546"/>
              <w:right w:val="single" w:sz="8" w:space="0" w:color="F79546"/>
            </w:tcBorders>
          </w:tcPr>
          <w:p>
            <w:pPr>
              <w:pStyle w:val="TableParagraph"/>
              <w:numPr>
                <w:ilvl w:val="0"/>
                <w:numId w:val="7"/>
              </w:numPr>
              <w:tabs>
                <w:tab w:pos="202" w:val="left" w:leader="none"/>
              </w:tabs>
              <w:spacing w:line="240" w:lineRule="auto" w:before="78" w:after="0"/>
              <w:ind w:left="201" w:right="0" w:hanging="136"/>
              <w:jc w:val="left"/>
              <w:rPr>
                <w:sz w:val="22"/>
              </w:rPr>
            </w:pPr>
            <w:r>
              <w:rPr>
                <w:spacing w:val="-3"/>
                <w:sz w:val="22"/>
              </w:rPr>
              <w:t>关注学生发言内容是否联系真实的自我。</w:t>
            </w:r>
          </w:p>
          <w:p>
            <w:pPr>
              <w:pStyle w:val="TableParagraph"/>
              <w:numPr>
                <w:ilvl w:val="0"/>
                <w:numId w:val="7"/>
              </w:numPr>
              <w:tabs>
                <w:tab w:pos="202" w:val="left" w:leader="none"/>
              </w:tabs>
              <w:spacing w:line="240" w:lineRule="auto" w:before="1" w:after="0"/>
              <w:ind w:left="201" w:right="0" w:hanging="136"/>
              <w:jc w:val="left"/>
              <w:rPr>
                <w:sz w:val="22"/>
              </w:rPr>
            </w:pPr>
            <w:r>
              <w:rPr>
                <w:spacing w:val="-3"/>
                <w:sz w:val="22"/>
              </w:rPr>
              <w:t>关注学生神情是否专注、情感是否投入。</w:t>
            </w:r>
          </w:p>
        </w:tc>
      </w:tr>
      <w:tr>
        <w:trPr>
          <w:trHeight w:val="1005" w:hRule="atLeast"/>
        </w:trPr>
        <w:tc>
          <w:tcPr>
            <w:tcW w:w="1013" w:type="dxa"/>
            <w:vMerge/>
            <w:tcBorders>
              <w:top w:val="nil"/>
              <w:right w:val="dotted" w:sz="6" w:space="0" w:color="6C6C6C"/>
            </w:tcBorders>
            <w:shd w:val="clear" w:color="auto" w:fill="F79546"/>
          </w:tcPr>
          <w:p>
            <w:pPr>
              <w:rPr>
                <w:sz w:val="2"/>
                <w:szCs w:val="2"/>
              </w:rPr>
            </w:pPr>
          </w:p>
        </w:tc>
        <w:tc>
          <w:tcPr>
            <w:tcW w:w="813" w:type="dxa"/>
            <w:tcBorders>
              <w:top w:val="single" w:sz="8" w:space="0" w:color="F79546"/>
              <w:left w:val="dotted" w:sz="6" w:space="0" w:color="6C6C6C"/>
              <w:bottom w:val="single" w:sz="8" w:space="0" w:color="F79546"/>
              <w:right w:val="dotted" w:sz="6" w:space="0" w:color="6C6C6C"/>
            </w:tcBorders>
          </w:tcPr>
          <w:p>
            <w:pPr>
              <w:pStyle w:val="TableParagraph"/>
              <w:rPr>
                <w:sz w:val="17"/>
              </w:rPr>
            </w:pPr>
          </w:p>
          <w:p>
            <w:pPr>
              <w:pStyle w:val="TableParagraph"/>
              <w:spacing w:line="242" w:lineRule="auto"/>
              <w:ind w:left="66" w:right="287"/>
              <w:rPr>
                <w:sz w:val="22"/>
              </w:rPr>
            </w:pPr>
            <w:r>
              <w:rPr>
                <w:sz w:val="22"/>
              </w:rPr>
              <w:t>设计意图</w:t>
            </w:r>
          </w:p>
        </w:tc>
        <w:tc>
          <w:tcPr>
            <w:tcW w:w="7202" w:type="dxa"/>
            <w:tcBorders>
              <w:top w:val="single" w:sz="8" w:space="0" w:color="F79546"/>
              <w:left w:val="dotted" w:sz="6" w:space="0" w:color="6C6C6C"/>
              <w:bottom w:val="single" w:sz="8" w:space="0" w:color="F79546"/>
              <w:right w:val="single" w:sz="8" w:space="0" w:color="F79546"/>
            </w:tcBorders>
          </w:tcPr>
          <w:p>
            <w:pPr>
              <w:pStyle w:val="TableParagraph"/>
              <w:spacing w:line="242" w:lineRule="auto" w:before="76"/>
              <w:ind w:left="66" w:right="73"/>
              <w:jc w:val="both"/>
              <w:rPr>
                <w:sz w:val="22"/>
              </w:rPr>
            </w:pPr>
            <w:r>
              <w:rPr>
                <w:sz w:val="22"/>
              </w:rPr>
              <w:t>让学生明白，“工匠精神”是中国精神的重要组成部分；爱国情怀、国家意识和公民意识是我们成长不可缺少的精神钙片，执着、专注、严谨、精益、奉献是实现人生价值的必备品质。</w:t>
            </w:r>
          </w:p>
        </w:tc>
      </w:tr>
    </w:tbl>
    <w:p>
      <w:pPr>
        <w:pStyle w:val="BodyText"/>
        <w:rPr>
          <w:sz w:val="20"/>
        </w:rPr>
      </w:pPr>
    </w:p>
    <w:p>
      <w:pPr>
        <w:pStyle w:val="BodyText"/>
        <w:spacing w:before="4"/>
        <w:rPr>
          <w:sz w:val="18"/>
        </w:rPr>
      </w:pPr>
    </w:p>
    <w:p>
      <w:pPr>
        <w:spacing w:before="70"/>
        <w:ind w:left="1376" w:right="0" w:firstLine="0"/>
        <w:jc w:val="left"/>
        <w:rPr>
          <w:sz w:val="21"/>
        </w:rPr>
      </w:pPr>
      <w:r>
        <w:rPr/>
        <w:drawing>
          <wp:anchor distT="0" distB="0" distL="0" distR="0" allowOverlap="1" layoutInCell="1" locked="0" behindDoc="0" simplePos="0" relativeHeight="251667456">
            <wp:simplePos x="0" y="0"/>
            <wp:positionH relativeFrom="page">
              <wp:posOffset>899160</wp:posOffset>
            </wp:positionH>
            <wp:positionV relativeFrom="paragraph">
              <wp:posOffset>-69722</wp:posOffset>
            </wp:positionV>
            <wp:extent cx="413003" cy="237744"/>
            <wp:effectExtent l="0" t="0" r="0" b="0"/>
            <wp:wrapNone/>
            <wp:docPr id="39" name="image15.jpeg"/>
            <wp:cNvGraphicFramePr>
              <a:graphicFrameLocks noChangeAspect="1"/>
            </wp:cNvGraphicFramePr>
            <a:graphic>
              <a:graphicData uri="http://schemas.openxmlformats.org/drawingml/2006/picture">
                <pic:pic>
                  <pic:nvPicPr>
                    <pic:cNvPr id="40" name="image15.jpeg"/>
                    <pic:cNvPicPr/>
                  </pic:nvPicPr>
                  <pic:blipFill>
                    <a:blip r:embed="rId22" cstate="print"/>
                    <a:stretch>
                      <a:fillRect/>
                    </a:stretch>
                  </pic:blipFill>
                  <pic:spPr>
                    <a:xfrm>
                      <a:off x="0" y="0"/>
                      <a:ext cx="413003" cy="237744"/>
                    </a:xfrm>
                    <a:prstGeom prst="rect">
                      <a:avLst/>
                    </a:prstGeom>
                  </pic:spPr>
                </pic:pic>
              </a:graphicData>
            </a:graphic>
          </wp:anchor>
        </w:drawing>
      </w:r>
      <w:r>
        <w:rPr>
          <w:sz w:val="21"/>
        </w:rPr>
        <w:t>素养提升策略</w:t>
      </w:r>
    </w:p>
    <w:p>
      <w:pPr>
        <w:spacing w:line="364" w:lineRule="auto" w:before="139"/>
        <w:ind w:left="716" w:right="253" w:firstLine="420"/>
        <w:jc w:val="both"/>
        <w:rPr>
          <w:sz w:val="21"/>
        </w:rPr>
      </w:pPr>
      <w:r>
        <w:rPr>
          <w:w w:val="95"/>
          <w:sz w:val="21"/>
        </w:rPr>
        <w:t>策略一：在课程内容“教学化”中提升素养。课标是教学的基本依据，按照课标要求加工教学   内容，采用个性化的方式动态生成素材和信息，有助于更好地实现教学目标。本节课依据课程标准   中“评析经济发展中践行社会责任的实例”的要求，锁定“工匠精神”，紧扣社会热点和学生的实   际，选择、处理、整合、激活教学内容，既贴近学生生活，又反映当代社会进步新发展的需要，对   </w:t>
      </w:r>
      <w:r>
        <w:rPr>
          <w:sz w:val="21"/>
        </w:rPr>
        <w:t>引导学生进行正确的价值判断和行为选择及践行社会主义核心价值观意义重大。</w:t>
      </w:r>
    </w:p>
    <w:p>
      <w:pPr>
        <w:spacing w:line="367" w:lineRule="auto" w:before="0"/>
        <w:ind w:left="716" w:right="253" w:firstLine="420"/>
        <w:jc w:val="left"/>
        <w:rPr>
          <w:sz w:val="21"/>
        </w:rPr>
      </w:pPr>
      <w:r>
        <w:rPr>
          <w:w w:val="95"/>
          <w:sz w:val="21"/>
        </w:rPr>
        <w:t>策略二：在课程内容“活动化”中提升素养。课程内容的与时俱进是课程开发的基本要求，也   是保证课程实效的重要条件。因此在教学中要力求“课程内容活动化、活动设计内容化”。本课学</w:t>
      </w:r>
    </w:p>
    <w:p>
      <w:pPr>
        <w:spacing w:after="0" w:line="367" w:lineRule="auto"/>
        <w:jc w:val="left"/>
        <w:rPr>
          <w:sz w:val="21"/>
        </w:rPr>
        <w:sectPr>
          <w:pgSz w:w="11900" w:h="16840"/>
          <w:pgMar w:header="0" w:footer="655" w:top="1420" w:bottom="840" w:left="700" w:right="1200"/>
        </w:sectPr>
      </w:pPr>
    </w:p>
    <w:p>
      <w:pPr>
        <w:spacing w:line="364" w:lineRule="auto" w:before="42"/>
        <w:ind w:left="716" w:right="253" w:firstLine="0"/>
        <w:jc w:val="left"/>
        <w:rPr>
          <w:sz w:val="21"/>
        </w:rPr>
      </w:pPr>
      <w:r>
        <w:rPr>
          <w:w w:val="95"/>
          <w:sz w:val="21"/>
        </w:rPr>
        <w:t>习内容根据教学目标进行选择、重组、整合，赋予了鲜活的时代内涵，同时采用学生自主、合作、   </w:t>
      </w:r>
      <w:r>
        <w:rPr>
          <w:spacing w:val="-1"/>
          <w:sz w:val="21"/>
        </w:rPr>
        <w:t>探究的 “活动型”学习方式，通过寻找、交流、展示、探究、研讨、升华等活动环节，步步深</w:t>
      </w:r>
    </w:p>
    <w:p>
      <w:pPr>
        <w:spacing w:before="0"/>
        <w:ind w:left="716" w:right="0" w:firstLine="0"/>
        <w:jc w:val="left"/>
        <w:rPr>
          <w:sz w:val="21"/>
        </w:rPr>
      </w:pPr>
      <w:r>
        <w:rPr>
          <w:sz w:val="21"/>
        </w:rPr>
        <w:t>入，层层提升，学生在共同学习、探讨中领悟“工匠精神”的内涵及其存在的精神价值。</w:t>
      </w:r>
    </w:p>
    <w:p>
      <w:pPr>
        <w:pStyle w:val="BodyText"/>
        <w:rPr>
          <w:sz w:val="20"/>
        </w:rPr>
      </w:pPr>
    </w:p>
    <w:p>
      <w:pPr>
        <w:pStyle w:val="BodyText"/>
        <w:spacing w:before="3"/>
        <w:rPr>
          <w:sz w:val="27"/>
        </w:rPr>
      </w:pPr>
    </w:p>
    <w:p>
      <w:pPr>
        <w:pStyle w:val="Heading3"/>
        <w:numPr>
          <w:ilvl w:val="0"/>
          <w:numId w:val="1"/>
        </w:numPr>
        <w:tabs>
          <w:tab w:pos="4635" w:val="left" w:leader="none"/>
          <w:tab w:pos="4636" w:val="left" w:leader="none"/>
        </w:tabs>
        <w:spacing w:line="240" w:lineRule="auto" w:before="0" w:after="0"/>
        <w:ind w:left="4635" w:right="0" w:hanging="484"/>
        <w:jc w:val="left"/>
      </w:pPr>
      <w:r>
        <w:rPr/>
        <w:t>特色、亮点提炼</w:t>
      </w:r>
    </w:p>
    <w:p>
      <w:pPr>
        <w:spacing w:line="364" w:lineRule="auto" w:before="160"/>
        <w:ind w:left="716" w:right="253" w:firstLine="525"/>
        <w:jc w:val="left"/>
        <w:rPr>
          <w:sz w:val="21"/>
        </w:rPr>
      </w:pPr>
      <w:r>
        <w:rPr>
          <w:b/>
          <w:sz w:val="21"/>
        </w:rPr>
        <w:t>一、课堂：成为生命成长的乐园。</w:t>
      </w:r>
      <w:r>
        <w:rPr>
          <w:sz w:val="21"/>
        </w:rPr>
        <w:t>本课充分展现了综合探究的特色，既体现内容上的综合 性，又展现学习方式上的探究性。各环节资料的收集由学生分组课前完成；展示的课件由学生制 </w:t>
      </w:r>
      <w:r>
        <w:rPr>
          <w:w w:val="95"/>
          <w:sz w:val="21"/>
        </w:rPr>
        <w:t>作；课堂的展示讨论由学生主持，各组代表交流、组员补充。老师只在课堂教学的最后环节作了总   结与点评。学生的智慧和能力得到尽情展现，学生的生命价值得到充分体现，在综合探究中学生体   验到了成功的喜悦、成长的快乐。通过“工匠精神”学习，让学生明白：人之所以为人就在于有超   </w:t>
      </w:r>
      <w:r>
        <w:rPr>
          <w:sz w:val="21"/>
        </w:rPr>
        <w:t>越生物性的精神世界，人不但要思考如何活下来，还要思考“为何活着”“如何活得更好”的问 题。</w:t>
      </w:r>
    </w:p>
    <w:p>
      <w:pPr>
        <w:spacing w:line="265" w:lineRule="exact" w:before="0"/>
        <w:ind w:left="1347" w:right="0" w:firstLine="0"/>
        <w:jc w:val="left"/>
        <w:rPr>
          <w:sz w:val="21"/>
        </w:rPr>
      </w:pPr>
      <w:r>
        <w:rPr>
          <w:b/>
          <w:sz w:val="21"/>
        </w:rPr>
        <w:t>二、学习：拓展生命自觉的路径。</w:t>
      </w:r>
      <w:r>
        <w:rPr>
          <w:sz w:val="21"/>
        </w:rPr>
        <w:t>教育的最终目的要把人的创造力量诱导出来，将生命</w:t>
      </w:r>
    </w:p>
    <w:p>
      <w:pPr>
        <w:spacing w:line="364" w:lineRule="auto" w:before="141"/>
        <w:ind w:left="716" w:right="253" w:firstLine="0"/>
        <w:jc w:val="both"/>
        <w:rPr>
          <w:sz w:val="21"/>
        </w:rPr>
      </w:pPr>
      <w:r>
        <w:rPr>
          <w:w w:val="95"/>
          <w:sz w:val="21"/>
        </w:rPr>
        <w:t>感、价值感唤醒。民主、和谐的学习氛围激发了学生主动探索的积极性和创造性；自主合作的学习   方式，使学生学会记录，学会思考，学会展示；学会倾听，学会互学；学会合作，学会质疑。问题   探究的学习过程，使学生在发现问题、探究问题、解决问题过程中激发自主学习的动机和欲望，提   高了学习能力。“工匠精神”的探究学习，唤醒了学生自我意识、激活了学生思维、提升了学生综   </w:t>
      </w:r>
      <w:r>
        <w:rPr>
          <w:sz w:val="21"/>
        </w:rPr>
        <w:t>合素养。</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line="336" w:lineRule="auto" w:before="161"/>
        <w:ind w:left="716" w:right="517" w:firstLine="528"/>
        <w:jc w:val="both"/>
        <w:rPr>
          <w:rFonts w:ascii="微软雅黑" w:eastAsia="微软雅黑" w:hint="eastAsia"/>
          <w:sz w:val="21"/>
        </w:rPr>
      </w:pPr>
      <w:r>
        <w:rPr>
          <w:rFonts w:ascii="微软雅黑" w:eastAsia="微软雅黑" w:hint="eastAsia"/>
          <w:sz w:val="21"/>
        </w:rPr>
        <w:t>作者： 金依平， 中共党员， 19 8 5 年毕业于浙江师范大学政治教育专业， 浙江省</w:t>
      </w:r>
      <w:r>
        <w:rPr>
          <w:rFonts w:ascii="微软雅黑" w:eastAsia="微软雅黑" w:hint="eastAsia"/>
          <w:w w:val="95"/>
          <w:sz w:val="21"/>
        </w:rPr>
        <w:t>特级老师、正高级教师，   浙江省第十三届人民代表大会代表。曾获浙江省师德楷模、浙江省优秀政治教师、宁波市名师等荣誉称号。在希望的田野上耕耘三十五年，   静心</w:t>
      </w:r>
      <w:r>
        <w:rPr>
          <w:rFonts w:ascii="微软雅黑" w:eastAsia="微软雅黑" w:hint="eastAsia"/>
          <w:sz w:val="21"/>
        </w:rPr>
        <w:t>教书， 潜心育人， 深受学生爱戴、家长赞誉、同行认同。</w:t>
      </w:r>
    </w:p>
    <w:p>
      <w:pPr>
        <w:spacing w:after="0" w:line="336" w:lineRule="auto"/>
        <w:jc w:val="both"/>
        <w:rPr>
          <w:rFonts w:ascii="微软雅黑" w:eastAsia="微软雅黑" w:hint="eastAsia"/>
          <w:sz w:val="21"/>
        </w:rPr>
        <w:sectPr>
          <w:pgSz w:w="11900" w:h="16840"/>
          <w:pgMar w:header="0" w:footer="655" w:top="1380" w:bottom="920" w:left="700" w:right="1200"/>
        </w:sectPr>
      </w:pPr>
    </w:p>
    <w:p>
      <w:pPr>
        <w:pStyle w:val="BodyText"/>
        <w:ind w:left="569"/>
        <w:rPr>
          <w:rFonts w:ascii="微软雅黑"/>
          <w:sz w:val="20"/>
        </w:rPr>
      </w:pPr>
      <w:r>
        <w:rPr>
          <w:rFonts w:ascii="微软雅黑"/>
          <w:sz w:val="20"/>
        </w:rPr>
        <w:pict>
          <v:group style="width:158.15pt;height:67.350pt;mso-position-horizontal-relative:char;mso-position-vertical-relative:line" coordorigin="0,0" coordsize="3163,1347">
            <v:shape style="position:absolute;left:0;top:0;width:3163;height:1347" type="#_x0000_t75" stroked="false">
              <v:imagedata r:id="rId10" o:title=""/>
            </v:shape>
            <v:shape style="position:absolute;left:0;top:0;width:3163;height:1347" type="#_x0000_t202" filled="false" stroked="false">
              <v:textbox inset="0,0,0,0">
                <w:txbxContent>
                  <w:p>
                    <w:pPr>
                      <w:spacing w:before="355"/>
                      <w:ind w:left="588" w:right="0" w:firstLine="0"/>
                      <w:jc w:val="left"/>
                      <w:rPr>
                        <w:rFonts w:ascii="黑体" w:eastAsia="黑体" w:hint="eastAsia"/>
                        <w:b/>
                        <w:sz w:val="44"/>
                      </w:rPr>
                    </w:pPr>
                    <w:r>
                      <w:rPr>
                        <w:rFonts w:ascii="黑体" w:eastAsia="黑体" w:hint="eastAsia"/>
                        <w:b/>
                        <w:sz w:val="44"/>
                      </w:rPr>
                      <w:t>专题讲座</w:t>
                    </w:r>
                  </w:p>
                </w:txbxContent>
              </v:textbox>
              <w10:wrap type="none"/>
            </v:shape>
          </v:group>
        </w:pict>
      </w:r>
      <w:r>
        <w:rPr>
          <w:rFonts w:ascii="微软雅黑"/>
          <w:sz w:val="20"/>
        </w:rPr>
      </w:r>
    </w:p>
    <w:p>
      <w:pPr>
        <w:pStyle w:val="BodyText"/>
        <w:spacing w:before="5"/>
        <w:rPr>
          <w:rFonts w:ascii="微软雅黑"/>
          <w:sz w:val="17"/>
        </w:rPr>
      </w:pPr>
    </w:p>
    <w:p>
      <w:pPr>
        <w:pStyle w:val="Heading1"/>
        <w:tabs>
          <w:tab w:pos="2255" w:val="left" w:leader="none"/>
        </w:tabs>
        <w:ind w:left="208"/>
        <w:rPr>
          <w:rFonts w:ascii="微软雅黑" w:eastAsia="微软雅黑" w:hint="eastAsia"/>
        </w:rPr>
      </w:pPr>
      <w:r>
        <w:rPr>
          <w:rFonts w:ascii="微软雅黑" w:eastAsia="微软雅黑" w:hint="eastAsia"/>
          <w:spacing w:val="7"/>
        </w:rPr>
        <w:t>聆</w:t>
      </w:r>
      <w:r>
        <w:rPr>
          <w:rFonts w:ascii="微软雅黑" w:eastAsia="微软雅黑" w:hint="eastAsia"/>
          <w:spacing w:val="9"/>
        </w:rPr>
        <w:t>听</w:t>
      </w:r>
      <w:r>
        <w:rPr>
          <w:rFonts w:ascii="微软雅黑" w:eastAsia="微软雅黑" w:hint="eastAsia"/>
          <w:spacing w:val="7"/>
        </w:rPr>
        <w:t>教</w:t>
      </w:r>
      <w:r>
        <w:rPr>
          <w:rFonts w:ascii="微软雅黑" w:eastAsia="微软雅黑" w:hint="eastAsia"/>
        </w:rPr>
        <w:t>诲</w:t>
        <w:tab/>
      </w:r>
      <w:r>
        <w:rPr>
          <w:rFonts w:ascii="微软雅黑" w:eastAsia="微软雅黑" w:hint="eastAsia"/>
          <w:spacing w:val="7"/>
        </w:rPr>
        <w:t>提</w:t>
      </w:r>
      <w:r>
        <w:rPr>
          <w:rFonts w:ascii="微软雅黑" w:eastAsia="微软雅黑" w:hint="eastAsia"/>
          <w:spacing w:val="9"/>
        </w:rPr>
        <w:t>升</w:t>
      </w:r>
      <w:r>
        <w:rPr>
          <w:rFonts w:ascii="微软雅黑" w:eastAsia="微软雅黑" w:hint="eastAsia"/>
          <w:spacing w:val="7"/>
        </w:rPr>
        <w:t>自</w:t>
      </w:r>
      <w:r>
        <w:rPr>
          <w:rFonts w:ascii="微软雅黑" w:eastAsia="微软雅黑" w:hint="eastAsia"/>
        </w:rPr>
        <w:t>我</w:t>
      </w:r>
    </w:p>
    <w:p>
      <w:pPr>
        <w:pStyle w:val="Heading3"/>
        <w:spacing w:before="259"/>
        <w:ind w:left="4853"/>
      </w:pPr>
      <w:r>
        <w:rPr>
          <w:sz w:val="32"/>
        </w:rPr>
        <w:t>——</w:t>
      </w:r>
      <w:r>
        <w:rPr/>
        <w:t>聆听川师附中胡昳校长在线讲座</w:t>
      </w:r>
    </w:p>
    <w:p>
      <w:pPr>
        <w:pStyle w:val="BodyText"/>
        <w:spacing w:before="285"/>
        <w:ind w:left="1196"/>
      </w:pPr>
      <w:r>
        <w:rPr/>
        <w:t>五月的成都温润而不潮湿，晴朗而不燥热，为推动区域教育高质量发展，根据</w:t>
      </w:r>
    </w:p>
    <w:p>
      <w:pPr>
        <w:pStyle w:val="BodyText"/>
        <w:spacing w:line="364" w:lineRule="auto" w:before="158"/>
        <w:ind w:left="716" w:right="403"/>
      </w:pPr>
      <w:r>
        <w:rPr>
          <w:spacing w:val="-2"/>
        </w:rPr>
        <w:t>《成都市双流区义务段校长培训课程实施方案》安排，双流区教育局于 </w:t>
      </w:r>
      <w:r>
        <w:rPr/>
        <w:t>5</w:t>
      </w:r>
      <w:r>
        <w:rPr>
          <w:spacing w:val="-40"/>
        </w:rPr>
        <w:t> 月 </w:t>
      </w:r>
      <w:r>
        <w:rPr/>
        <w:t>20</w:t>
      </w:r>
      <w:r>
        <w:rPr>
          <w:spacing w:val="-20"/>
        </w:rPr>
        <w:t> 日下午，在双流艺体中学学术报告厅开展了义务段校长第一次培训讲座。廖洪森工作室学</w:t>
      </w:r>
      <w:r>
        <w:rPr>
          <w:spacing w:val="-1"/>
        </w:rPr>
        <w:t>员们早早来到课堂，等待聆听中学高级教师、四川师范大学附属中学校长胡昳校长的</w:t>
      </w:r>
      <w:r>
        <w:rPr/>
        <w:t>在线专题讲座——《优化校本培优体系，构建专业发展高地，成就卓越教师》。</w:t>
      </w:r>
    </w:p>
    <w:p>
      <w:pPr>
        <w:pStyle w:val="BodyText"/>
        <w:rPr>
          <w:sz w:val="20"/>
        </w:rPr>
      </w:pPr>
    </w:p>
    <w:p>
      <w:pPr>
        <w:pStyle w:val="BodyText"/>
        <w:spacing w:before="2"/>
        <w:rPr>
          <w:sz w:val="13"/>
        </w:rPr>
      </w:pPr>
      <w:r>
        <w:rPr/>
        <w:drawing>
          <wp:anchor distT="0" distB="0" distL="0" distR="0" allowOverlap="1" layoutInCell="1" locked="0" behindDoc="0" simplePos="0" relativeHeight="12">
            <wp:simplePos x="0" y="0"/>
            <wp:positionH relativeFrom="page">
              <wp:posOffset>1357883</wp:posOffset>
            </wp:positionH>
            <wp:positionV relativeFrom="paragraph">
              <wp:posOffset>132411</wp:posOffset>
            </wp:positionV>
            <wp:extent cx="5146662" cy="2803779"/>
            <wp:effectExtent l="0" t="0" r="0" b="0"/>
            <wp:wrapTopAndBottom/>
            <wp:docPr id="41" name="image18.jpeg"/>
            <wp:cNvGraphicFramePr>
              <a:graphicFrameLocks noChangeAspect="1"/>
            </wp:cNvGraphicFramePr>
            <a:graphic>
              <a:graphicData uri="http://schemas.openxmlformats.org/drawingml/2006/picture">
                <pic:pic>
                  <pic:nvPicPr>
                    <pic:cNvPr id="42" name="image18.jpeg"/>
                    <pic:cNvPicPr/>
                  </pic:nvPicPr>
                  <pic:blipFill>
                    <a:blip r:embed="rId25" cstate="print"/>
                    <a:stretch>
                      <a:fillRect/>
                    </a:stretch>
                  </pic:blipFill>
                  <pic:spPr>
                    <a:xfrm>
                      <a:off x="0" y="0"/>
                      <a:ext cx="5146662" cy="2803779"/>
                    </a:xfrm>
                    <a:prstGeom prst="rect">
                      <a:avLst/>
                    </a:prstGeom>
                  </pic:spPr>
                </pic:pic>
              </a:graphicData>
            </a:graphic>
          </wp:anchor>
        </w:drawing>
      </w:r>
    </w:p>
    <w:p>
      <w:pPr>
        <w:pStyle w:val="BodyText"/>
        <w:rPr>
          <w:sz w:val="20"/>
        </w:rPr>
      </w:pPr>
    </w:p>
    <w:p>
      <w:pPr>
        <w:pStyle w:val="BodyText"/>
        <w:spacing w:before="5"/>
        <w:rPr>
          <w:sz w:val="18"/>
        </w:rPr>
      </w:pPr>
    </w:p>
    <w:p>
      <w:pPr>
        <w:pStyle w:val="BodyText"/>
        <w:spacing w:line="364" w:lineRule="auto" w:before="66"/>
        <w:ind w:left="716" w:right="343" w:firstLine="480"/>
      </w:pPr>
      <w:r>
        <w:rPr/>
        <w:t>四川师范大学附属中学是四川省首批重点中学、四川省首批授牌的国家级示范性高中、首批四川省一级示范性高中。四川师范大学附属中学秉承开放办学、健康发展</w:t>
      </w:r>
      <w:r>
        <w:rPr>
          <w:spacing w:val="-7"/>
        </w:rPr>
        <w:t>的办学理念。截至 </w:t>
      </w:r>
      <w:r>
        <w:rPr/>
        <w:t>2013</w:t>
      </w:r>
      <w:r>
        <w:rPr>
          <w:spacing w:val="-40"/>
        </w:rPr>
        <w:t> 年 </w:t>
      </w:r>
      <w:r>
        <w:rPr/>
        <w:t>9</w:t>
      </w:r>
      <w:r>
        <w:rPr>
          <w:spacing w:val="-13"/>
        </w:rPr>
        <w:t> 月，学校先后培养出 </w:t>
      </w:r>
      <w:r>
        <w:rPr/>
        <w:t>1</w:t>
      </w:r>
      <w:r>
        <w:rPr>
          <w:spacing w:val="-8"/>
        </w:rPr>
        <w:t> 名四川省学术技术带头人</w:t>
      </w:r>
      <w:r>
        <w:rPr/>
        <w:t>，12</w:t>
      </w:r>
      <w:r>
        <w:rPr>
          <w:spacing w:val="-30"/>
        </w:rPr>
        <w:t> 名四川省中学特级教师，3</w:t>
      </w:r>
      <w:r>
        <w:rPr>
          <w:spacing w:val="-8"/>
        </w:rPr>
        <w:t> 名教育专家后备人选</w:t>
      </w:r>
      <w:r>
        <w:rPr/>
        <w:t>，16</w:t>
      </w:r>
      <w:r>
        <w:rPr>
          <w:spacing w:val="-8"/>
        </w:rPr>
        <w:t> 名市、区学科带头人</w:t>
      </w:r>
      <w:r>
        <w:rPr/>
        <w:t>，23</w:t>
      </w:r>
      <w:r>
        <w:rPr>
          <w:spacing w:val="-16"/>
        </w:rPr>
        <w:t> 名成都市</w:t>
      </w:r>
      <w:r>
        <w:rPr/>
        <w:t>优秀青年教师，8</w:t>
      </w:r>
      <w:r>
        <w:rPr>
          <w:spacing w:val="-8"/>
        </w:rPr>
        <w:t> 名教师受聘为四川师大教育硕士生导师，每年均有多名教师受聘担任四川省高考阅卷指导委员或阅卷组长。1993</w:t>
      </w:r>
      <w:r>
        <w:rPr>
          <w:spacing w:val="-9"/>
        </w:rPr>
        <w:t> 年胡昳校长毕业后进入四川师范大学附</w:t>
      </w:r>
    </w:p>
    <w:p>
      <w:pPr>
        <w:spacing w:after="0" w:line="364" w:lineRule="auto"/>
        <w:sectPr>
          <w:pgSz w:w="11900" w:h="16840"/>
          <w:pgMar w:header="0" w:footer="655" w:top="1580" w:bottom="920" w:left="700" w:right="1200"/>
        </w:sectPr>
      </w:pPr>
    </w:p>
    <w:p>
      <w:pPr>
        <w:pStyle w:val="BodyText"/>
        <w:spacing w:line="364" w:lineRule="auto" w:before="43"/>
        <w:ind w:left="716" w:right="283"/>
      </w:pPr>
      <w:r>
        <w:rPr>
          <w:spacing w:val="-7"/>
        </w:rPr>
        <w:t>属中学工作已经有 </w:t>
      </w:r>
      <w:r>
        <w:rPr/>
        <w:t>27</w:t>
      </w:r>
      <w:r>
        <w:rPr>
          <w:spacing w:val="-9"/>
        </w:rPr>
        <w:t> 年了，如今她作为这所学校的校长，角色转变，她对自己也有了</w:t>
      </w:r>
      <w:r>
        <w:rPr/>
        <w:t>更高的要求，从最初的教书育人，培养品学兼优、综合素质拔尖的人才，到办好一所学校，满足更多老百姓对 优质教育的需求，她不忘初心，矢志不渝。</w:t>
      </w:r>
    </w:p>
    <w:p>
      <w:pPr>
        <w:pStyle w:val="BodyText"/>
        <w:spacing w:line="364" w:lineRule="auto"/>
        <w:ind w:left="716" w:right="403" w:firstLine="480"/>
        <w:jc w:val="both"/>
      </w:pPr>
      <w:r>
        <w:rPr>
          <w:color w:val="333333"/>
        </w:rPr>
        <w:t>胡校长通过实例由浅入深地介绍了川师附中以生本教育为指导形成自主学习的基本形态，从而达到学生优效发展的追求。针对每个学生指导制定个性化计划表，真正做到了没使学校教育成为“批量高端定制生产线”，用教学质量争取到了绝对的话语权，用文化渗透体现出学校之魂，用严格有效的制度稳定学校秩序，用学术成果证明了学校的品质，特色教学让学校充满了生命活力，这就是我们应该学习的精髓所</w:t>
      </w:r>
    </w:p>
    <w:p>
      <w:pPr>
        <w:pStyle w:val="BodyText"/>
        <w:spacing w:line="364" w:lineRule="auto"/>
        <w:ind w:left="716" w:right="403"/>
        <w:jc w:val="both"/>
      </w:pPr>
      <w:r>
        <w:rPr>
          <w:color w:val="333333"/>
        </w:rPr>
        <w:t>在。 </w:t>
      </w:r>
      <w:r>
        <w:rPr/>
        <w:t>胡校长认为  学校是教师发展的重要场所，学生核心素养的落实依赖于教师现代素养的提升，她结合自身教育教学的经验提出在教育教学上，一方面要围绕现代教师素养，全方位提升教师专业发展水平，优化校本培育体系；另一方面要积聚多种资源，整合个体知识、提升团队知识、共享学校知识、盘活知识储存，共同构建教师发展高地。</w:t>
      </w:r>
    </w:p>
    <w:p>
      <w:pPr>
        <w:pStyle w:val="BodyText"/>
        <w:spacing w:line="364" w:lineRule="auto"/>
        <w:ind w:left="716" w:right="403" w:firstLine="480"/>
        <w:jc w:val="both"/>
      </w:pPr>
      <w:r>
        <w:rPr/>
        <w:t>她谈到：“学生是本，课堂是根，抓住根本，提高质量。”对于教师来说，要研究学生的学习，以此确立教学内容。与其强迫学习不如教会学生怎样学，授人以鱼不如授人以渔，有规划、有特色、有想法，更要有耐心，扎扎实实地打造一流的教师队伍，形成学校核心特色文化，创建学校品牌。</w:t>
      </w:r>
    </w:p>
    <w:p>
      <w:pPr>
        <w:pStyle w:val="BodyText"/>
        <w:spacing w:line="364" w:lineRule="auto"/>
        <w:ind w:left="716" w:right="403" w:firstLine="480"/>
        <w:jc w:val="both"/>
      </w:pPr>
      <w:r>
        <w:rPr>
          <w:color w:val="333333"/>
        </w:rPr>
        <w:t>胡昳校长通篇讲座语言感性，刚柔相济，有女性的柔美，也有强人气魄。胡校长提倡，要做会讲故事的老师。站在孩子的角度，走近孩子心灵，不只为冰冷的数字而战，更为孩子脸上的笑容而拼！</w:t>
      </w:r>
    </w:p>
    <w:p>
      <w:pPr>
        <w:pStyle w:val="BodyText"/>
        <w:spacing w:line="364" w:lineRule="auto"/>
        <w:ind w:left="716" w:right="403" w:firstLine="480"/>
      </w:pPr>
      <w:r>
        <w:rPr>
          <w:color w:val="333333"/>
          <w:spacing w:val="-1"/>
        </w:rPr>
        <w:t>感谢工作室这样好的平台，让我们有机会聆听如此高水平的的讲座，对我们的专</w:t>
      </w:r>
      <w:r>
        <w:rPr>
          <w:color w:val="333333"/>
        </w:rPr>
        <w:t>业提升和个人发展如同得到一场春雨般润泽，促使我们不断反思自己的教育教学工 作，反思自己的教学行为，这是一次很好的学习机会，也是一次难得的自我成长之 旅！</w:t>
      </w:r>
    </w:p>
    <w:p>
      <w:pPr>
        <w:spacing w:after="0" w:line="364" w:lineRule="auto"/>
        <w:sectPr>
          <w:pgSz w:w="11900" w:h="16840"/>
          <w:pgMar w:header="0" w:footer="655" w:top="1380" w:bottom="920" w:left="700" w:right="1200"/>
        </w:sectPr>
      </w:pPr>
    </w:p>
    <w:p>
      <w:pPr>
        <w:pStyle w:val="BodyText"/>
        <w:rPr>
          <w:sz w:val="9"/>
        </w:rPr>
      </w:pPr>
    </w:p>
    <w:p>
      <w:pPr>
        <w:pStyle w:val="BodyText"/>
        <w:ind w:left="480"/>
        <w:rPr>
          <w:sz w:val="20"/>
        </w:rPr>
      </w:pPr>
      <w:r>
        <w:rPr>
          <w:sz w:val="20"/>
        </w:rPr>
        <w:pict>
          <v:group style="width:141.050pt;height:58.45pt;mso-position-horizontal-relative:char;mso-position-vertical-relative:line" coordorigin="0,0" coordsize="2821,1169">
            <v:shape style="position:absolute;left:0;top:0;width:2821;height:1169" type="#_x0000_t75" stroked="false">
              <v:imagedata r:id="rId10" o:title=""/>
            </v:shape>
            <v:shape style="position:absolute;left:0;top:0;width:2821;height:1169" type="#_x0000_t202" filled="false" stroked="false">
              <v:textbox inset="0,0,0,0">
                <w:txbxContent>
                  <w:p>
                    <w:pPr>
                      <w:spacing w:before="326"/>
                      <w:ind w:left="405" w:right="0" w:firstLine="0"/>
                      <w:jc w:val="left"/>
                      <w:rPr>
                        <w:rFonts w:ascii="黑体" w:eastAsia="黑体" w:hint="eastAsia"/>
                        <w:sz w:val="44"/>
                      </w:rPr>
                    </w:pPr>
                    <w:r>
                      <w:rPr>
                        <w:rFonts w:ascii="黑体" w:eastAsia="黑体" w:hint="eastAsia"/>
                        <w:sz w:val="44"/>
                      </w:rPr>
                      <w:t>时政聚焦</w:t>
                    </w:r>
                  </w:p>
                </w:txbxContent>
              </v:textbox>
              <w10:wrap type="none"/>
            </v:shape>
          </v:group>
        </w:pict>
      </w:r>
      <w:r>
        <w:rPr>
          <w:sz w:val="20"/>
        </w:rPr>
      </w:r>
    </w:p>
    <w:p>
      <w:pPr>
        <w:pStyle w:val="BodyText"/>
        <w:spacing w:before="7"/>
        <w:rPr>
          <w:sz w:val="16"/>
        </w:rPr>
      </w:pPr>
    </w:p>
    <w:p>
      <w:pPr>
        <w:pStyle w:val="Heading1"/>
        <w:spacing w:before="50"/>
        <w:ind w:left="1606"/>
        <w:jc w:val="left"/>
      </w:pPr>
      <w:bookmarkStart w:name="从摇篮到坟墓，民法典怎样影响每个人的一生？" w:id="8"/>
      <w:bookmarkEnd w:id="8"/>
      <w:r>
        <w:rPr>
          <w:b w:val="0"/>
        </w:rPr>
      </w:r>
      <w:r>
        <w:rPr/>
        <w:t>从摇篮到坟墓，民法典怎样影响每个人的一生？</w:t>
      </w:r>
    </w:p>
    <w:p>
      <w:pPr>
        <w:pStyle w:val="BodyText"/>
        <w:spacing w:line="362" w:lineRule="auto" w:before="239"/>
        <w:ind w:left="1846" w:right="5991"/>
      </w:pPr>
      <w:r>
        <w:rPr/>
        <w:t>一个人从摇篮到坟墓一生各阶段的权利</w:t>
      </w:r>
    </w:p>
    <w:p>
      <w:pPr>
        <w:pStyle w:val="BodyText"/>
        <w:spacing w:before="5"/>
        <w:ind w:left="1846"/>
      </w:pPr>
      <w:r>
        <w:rPr/>
        <w:t>都可以在民法典中找到答案</w:t>
      </w:r>
    </w:p>
    <w:p>
      <w:pPr>
        <w:pStyle w:val="BodyText"/>
        <w:spacing w:before="3"/>
        <w:rPr>
          <w:sz w:val="9"/>
        </w:rPr>
      </w:pPr>
      <w:r>
        <w:rPr/>
        <w:drawing>
          <wp:anchor distT="0" distB="0" distL="0" distR="0" allowOverlap="1" layoutInCell="1" locked="0" behindDoc="0" simplePos="0" relativeHeight="15">
            <wp:simplePos x="0" y="0"/>
            <wp:positionH relativeFrom="page">
              <wp:posOffset>1312163</wp:posOffset>
            </wp:positionH>
            <wp:positionV relativeFrom="paragraph">
              <wp:posOffset>100076</wp:posOffset>
            </wp:positionV>
            <wp:extent cx="4667466" cy="1645920"/>
            <wp:effectExtent l="0" t="0" r="0" b="0"/>
            <wp:wrapTopAndBottom/>
            <wp:docPr id="43" name="image19.jpeg"/>
            <wp:cNvGraphicFramePr>
              <a:graphicFrameLocks noChangeAspect="1"/>
            </wp:cNvGraphicFramePr>
            <a:graphic>
              <a:graphicData uri="http://schemas.openxmlformats.org/drawingml/2006/picture">
                <pic:pic>
                  <pic:nvPicPr>
                    <pic:cNvPr id="44" name="image19.jpeg"/>
                    <pic:cNvPicPr/>
                  </pic:nvPicPr>
                  <pic:blipFill>
                    <a:blip r:embed="rId27" cstate="print"/>
                    <a:stretch>
                      <a:fillRect/>
                    </a:stretch>
                  </pic:blipFill>
                  <pic:spPr>
                    <a:xfrm>
                      <a:off x="0" y="0"/>
                      <a:ext cx="4667466" cy="1645920"/>
                    </a:xfrm>
                    <a:prstGeom prst="rect">
                      <a:avLst/>
                    </a:prstGeom>
                  </pic:spPr>
                </pic:pic>
              </a:graphicData>
            </a:graphic>
          </wp:anchor>
        </w:drawing>
      </w:r>
    </w:p>
    <w:p>
      <w:pPr>
        <w:pStyle w:val="BodyText"/>
        <w:spacing w:line="242" w:lineRule="auto" w:before="176"/>
        <w:ind w:left="886" w:right="471" w:firstLine="480"/>
        <w:rPr>
          <w:rFonts w:ascii="楷体" w:eastAsia="楷体" w:hint="eastAsia"/>
        </w:rPr>
      </w:pPr>
      <w:r>
        <w:rPr>
          <w:rFonts w:ascii="楷体" w:eastAsia="楷体" w:hint="eastAsia"/>
        </w:rPr>
        <w:t>民法典（草案）在继承编中，完善了遗赠扶养协议制度，适当扩大了扶养人范围。这是对社会化家庭养老形式多样化的探索。图/视觉中国</w:t>
      </w:r>
    </w:p>
    <w:p>
      <w:pPr>
        <w:pStyle w:val="Heading3"/>
        <w:spacing w:before="111"/>
        <w:ind w:left="1366"/>
      </w:pPr>
      <w:r>
        <w:rPr/>
        <w:t>民法典怎样影响每个人？</w:t>
      </w:r>
    </w:p>
    <w:p>
      <w:pPr>
        <w:pStyle w:val="BodyText"/>
        <w:spacing w:line="328" w:lineRule="auto" w:before="112"/>
        <w:ind w:left="886" w:right="471" w:firstLine="480"/>
        <w:jc w:val="both"/>
      </w:pPr>
      <w:r>
        <w:rPr/>
        <w:t>法典是同一门类的各种法规经过整理、编订后，形成的系统性法律。民法典被誉为“民权保护之母”，主旨在于保护公民诸项民事权利，是保障人民私权的基本法。</w:t>
      </w:r>
    </w:p>
    <w:p>
      <w:pPr>
        <w:pStyle w:val="BodyText"/>
        <w:spacing w:line="328" w:lineRule="auto"/>
        <w:ind w:left="886" w:right="651" w:firstLine="480"/>
      </w:pPr>
      <w:r>
        <w:rPr/>
        <w:t>2019</w:t>
      </w:r>
      <w:r>
        <w:rPr>
          <w:spacing w:val="-40"/>
        </w:rPr>
        <w:t> 年 </w:t>
      </w:r>
      <w:r>
        <w:rPr/>
        <w:t>12</w:t>
      </w:r>
      <w:r>
        <w:rPr>
          <w:spacing w:val="-40"/>
        </w:rPr>
        <w:t> 月 </w:t>
      </w:r>
      <w:r>
        <w:rPr/>
        <w:t>28</w:t>
      </w:r>
      <w:r>
        <w:rPr>
          <w:spacing w:val="-9"/>
        </w:rPr>
        <w:t> 日，十三届全国人大常委会第十五次会议表决通过了全国人</w:t>
      </w:r>
      <w:r>
        <w:rPr/>
        <w:t>大常委会关于提请审议民法典（草案）的议案，决定将《中华人民共和国民法典</w:t>
      </w:r>
    </w:p>
    <w:p>
      <w:pPr>
        <w:pStyle w:val="BodyText"/>
        <w:spacing w:line="328" w:lineRule="auto"/>
        <w:ind w:left="886" w:right="591"/>
      </w:pPr>
      <w:r>
        <w:rPr/>
        <w:t>（草案）</w:t>
      </w:r>
      <w:r>
        <w:rPr>
          <w:spacing w:val="-15"/>
        </w:rPr>
        <w:t>》提请 </w:t>
      </w:r>
      <w:r>
        <w:rPr/>
        <w:t>2020</w:t>
      </w:r>
      <w:r>
        <w:rPr>
          <w:spacing w:val="-9"/>
        </w:rPr>
        <w:t> 年召开的十三届全国人大三次会议审议。审议通过后，将成</w:t>
      </w:r>
      <w:r>
        <w:rPr/>
        <w:t>为是新中国历史上第一部法典化的法律。</w:t>
      </w:r>
    </w:p>
    <w:p>
      <w:pPr>
        <w:pStyle w:val="BodyText"/>
        <w:spacing w:line="328" w:lineRule="auto"/>
        <w:ind w:left="886" w:right="471" w:firstLine="480"/>
      </w:pPr>
      <w:r>
        <w:rPr/>
        <w:t>这部民法典（草案）</w:t>
      </w:r>
      <w:r>
        <w:rPr>
          <w:spacing w:val="-30"/>
        </w:rPr>
        <w:t>共 </w:t>
      </w:r>
      <w:r>
        <w:rPr/>
        <w:t>7</w:t>
      </w:r>
      <w:r>
        <w:rPr>
          <w:spacing w:val="-9"/>
        </w:rPr>
        <w:t> 编，依次为总则编、物权编、合同编、人格权编、婚</w:t>
      </w:r>
      <w:r>
        <w:rPr>
          <w:spacing w:val="-3"/>
        </w:rPr>
        <w:t>姻家庭编、继承编、侵权责任编，以及附则，共 </w:t>
      </w:r>
      <w:r>
        <w:rPr/>
        <w:t>1260</w:t>
      </w:r>
      <w:r>
        <w:rPr>
          <w:spacing w:val="-30"/>
        </w:rPr>
        <w:t> 条</w:t>
      </w:r>
      <w:r>
        <w:rPr/>
        <w:t>，10</w:t>
      </w:r>
      <w:r>
        <w:rPr>
          <w:spacing w:val="-12"/>
        </w:rPr>
        <w:t> 万余字。</w:t>
      </w:r>
    </w:p>
    <w:p>
      <w:pPr>
        <w:pStyle w:val="BodyText"/>
        <w:spacing w:line="328" w:lineRule="auto"/>
        <w:ind w:left="886" w:right="471" w:firstLine="480"/>
      </w:pPr>
      <w:r>
        <w:rPr>
          <w:b/>
        </w:rPr>
        <w:t>民法典（草案）亮点纷呈：</w:t>
      </w:r>
      <w:r>
        <w:rPr>
          <w:spacing w:val="-4"/>
        </w:rPr>
        <w:t>更加注重胎儿权利的保护；明确住宅 </w:t>
      </w:r>
      <w:r>
        <w:rPr/>
        <w:t>70</w:t>
      </w:r>
      <w:r>
        <w:rPr>
          <w:spacing w:val="-12"/>
        </w:rPr>
        <w:t> 年后自动</w:t>
      </w:r>
      <w:r>
        <w:rPr>
          <w:spacing w:val="-13"/>
        </w:rPr>
        <w:t>续期；禁止高利放贷；明确“机关、企业、学校等”的防止性骚扰责任；明确将自</w:t>
      </w:r>
      <w:r>
        <w:rPr>
          <w:spacing w:val="-1"/>
        </w:rPr>
        <w:t>然人的“电子邮箱地址”和“行踪信息”纳入个人信息的保护范围；放宽对收养条</w:t>
      </w:r>
      <w:r>
        <w:rPr>
          <w:spacing w:val="-8"/>
        </w:rPr>
        <w:t>件的限制，已有 </w:t>
      </w:r>
      <w:r>
        <w:rPr/>
        <w:t>1</w:t>
      </w:r>
      <w:r>
        <w:rPr>
          <w:spacing w:val="-11"/>
        </w:rPr>
        <w:t> 名子女的收养人也可收养子女；为避免草率离婚，设置 </w:t>
      </w:r>
      <w:r>
        <w:rPr/>
        <w:t>30</w:t>
      </w:r>
      <w:r>
        <w:rPr>
          <w:spacing w:val="-20"/>
        </w:rPr>
        <w:t> 天的</w:t>
      </w:r>
    </w:p>
    <w:p>
      <w:pPr>
        <w:spacing w:after="0" w:line="328" w:lineRule="auto"/>
        <w:sectPr>
          <w:footerReference w:type="default" r:id="rId26"/>
          <w:pgSz w:w="11900" w:h="16840"/>
          <w:pgMar w:footer="735" w:header="0" w:top="1580" w:bottom="920" w:left="700" w:right="1200"/>
          <w:pgNumType w:start="20"/>
        </w:sectPr>
      </w:pPr>
    </w:p>
    <w:p>
      <w:pPr>
        <w:pStyle w:val="BodyText"/>
        <w:spacing w:line="328" w:lineRule="auto" w:before="53"/>
        <w:ind w:left="886" w:right="711"/>
      </w:pPr>
      <w:r>
        <w:rPr/>
        <w:t>“离婚冷静期”；人格权法和侵权责任法独立成编；明确在防止高空抛物坠物方面，物业要尽安全责任；扩大扶养人的范围……</w:t>
      </w:r>
    </w:p>
    <w:p>
      <w:pPr>
        <w:pStyle w:val="BodyText"/>
        <w:spacing w:line="328" w:lineRule="auto"/>
        <w:ind w:left="886" w:right="471" w:firstLine="480"/>
      </w:pPr>
      <w:r>
        <w:rPr/>
        <w:t>著名法学家、中国人民大学常务副校长王利明称，1804</w:t>
      </w:r>
      <w:r>
        <w:rPr>
          <w:spacing w:val="-8"/>
        </w:rPr>
        <w:t> 年的法国民法典，是19 世纪风车水磨时代的民法典代表</w:t>
      </w:r>
      <w:r>
        <w:rPr/>
        <w:t>；1900</w:t>
      </w:r>
      <w:r>
        <w:rPr>
          <w:spacing w:val="-13"/>
        </w:rPr>
        <w:t> 年的德国民法典，是 </w:t>
      </w:r>
      <w:r>
        <w:rPr/>
        <w:t>20</w:t>
      </w:r>
      <w:r>
        <w:rPr>
          <w:spacing w:val="-10"/>
        </w:rPr>
        <w:t> 世纪工业社会的</w:t>
      </w:r>
    </w:p>
    <w:p>
      <w:pPr>
        <w:spacing w:line="328" w:lineRule="auto" w:before="0"/>
        <w:ind w:left="1366" w:right="2031" w:hanging="480"/>
        <w:jc w:val="left"/>
        <w:rPr>
          <w:b/>
          <w:sz w:val="24"/>
        </w:rPr>
      </w:pPr>
      <w:r>
        <w:rPr>
          <w:spacing w:val="-4"/>
          <w:sz w:val="24"/>
        </w:rPr>
        <w:t>民法典代表；那么我国的民法典应该是 </w:t>
      </w:r>
      <w:r>
        <w:rPr>
          <w:sz w:val="24"/>
        </w:rPr>
        <w:t>21</w:t>
      </w:r>
      <w:r>
        <w:rPr>
          <w:spacing w:val="-9"/>
          <w:sz w:val="24"/>
        </w:rPr>
        <w:t> 世纪民法典的代表之作。</w:t>
      </w:r>
      <w:r>
        <w:rPr>
          <w:b/>
          <w:sz w:val="24"/>
        </w:rPr>
        <w:t>总则编，继承编：贯穿终生的权利保护</w:t>
      </w:r>
    </w:p>
    <w:p>
      <w:pPr>
        <w:pStyle w:val="BodyText"/>
        <w:spacing w:line="328" w:lineRule="auto"/>
        <w:ind w:left="1366" w:right="711"/>
      </w:pPr>
      <w:r>
        <w:rPr/>
        <w:t>一个人从摇篮到坟墓，一生各阶段的权利，都可以在民法典中找到答案。 总则编是民法典（草案）</w:t>
      </w:r>
      <w:r>
        <w:rPr>
          <w:spacing w:val="-1"/>
        </w:rPr>
        <w:t>的第一编。其中，对胎儿权利提出了明确的保护原</w:t>
      </w:r>
    </w:p>
    <w:p>
      <w:pPr>
        <w:pStyle w:val="BodyText"/>
        <w:spacing w:line="305" w:lineRule="exact"/>
        <w:ind w:left="886"/>
      </w:pPr>
      <w:r>
        <w:rPr/>
        <w:t>则，被认为是最大的亮点之一。</w:t>
      </w:r>
    </w:p>
    <w:p>
      <w:pPr>
        <w:pStyle w:val="BodyText"/>
        <w:spacing w:line="328" w:lineRule="auto" w:before="105"/>
        <w:ind w:left="886" w:right="471" w:firstLine="480"/>
      </w:pPr>
      <w:r>
        <w:rPr/>
        <w:t>总则编明确规定：涉及遗产继承、接受赠与等胎儿利益的保护，胎儿视为具有民事权利能力。但是，胎儿出生时未存活的，其民事权利能力自始不存在。</w:t>
      </w:r>
    </w:p>
    <w:p>
      <w:pPr>
        <w:pStyle w:val="BodyText"/>
        <w:spacing w:line="328" w:lineRule="auto"/>
        <w:ind w:left="886" w:right="471" w:firstLine="480"/>
        <w:jc w:val="both"/>
      </w:pPr>
      <w:r>
        <w:rPr/>
        <w:t>1985</w:t>
      </w:r>
      <w:r>
        <w:rPr>
          <w:spacing w:val="-40"/>
        </w:rPr>
        <w:t> 年 </w:t>
      </w:r>
      <w:r>
        <w:rPr/>
        <w:t>10</w:t>
      </w:r>
      <w:r>
        <w:rPr>
          <w:spacing w:val="-40"/>
        </w:rPr>
        <w:t> 月 </w:t>
      </w:r>
      <w:r>
        <w:rPr/>
        <w:t>1</w:t>
      </w:r>
      <w:r>
        <w:rPr>
          <w:spacing w:val="-8"/>
        </w:rPr>
        <w:t> 日，开始施行的《中华人民共和国继承法》中也提到了胎儿的</w:t>
      </w:r>
      <w:r>
        <w:rPr>
          <w:spacing w:val="-9"/>
        </w:rPr>
        <w:t>权益。其中，第二十八条规定：遗产分割时，应当保留胎儿的继承份额。胎儿出生</w:t>
      </w:r>
      <w:r>
        <w:rPr/>
        <w:t>时是死体的，保留的份额按照法定继承办理。</w:t>
      </w:r>
    </w:p>
    <w:p>
      <w:pPr>
        <w:pStyle w:val="BodyText"/>
        <w:spacing w:line="304" w:lineRule="exact"/>
        <w:ind w:left="1366"/>
      </w:pPr>
      <w:r>
        <w:rPr/>
        <w:t>此次，民法典（草案）中又明确胎儿保护的意义是什么？</w:t>
      </w:r>
    </w:p>
    <w:p>
      <w:pPr>
        <w:pStyle w:val="BodyText"/>
        <w:spacing w:line="328" w:lineRule="auto" w:before="110"/>
        <w:ind w:left="886" w:right="471" w:firstLine="480"/>
        <w:jc w:val="both"/>
      </w:pPr>
      <w:r>
        <w:rPr/>
        <w:t>中国法学会民事诉讼法学研究会理事、山东大学法学院副教授刘加良告诉《中国新闻周刊》，继承法只是规定保留胎儿的份额，这个份额对应的主体没有确定独立性。跟继承法相比，民法典（草案）中有这个规定，就是在涉及遗产继承和接受赠与时，胎儿在法律层面就被视为具有民事权利能力，这样胎儿就有了诉讼主体资格，胎儿在民事诉讼中就会单独成为诉讼主体。比如说，胎儿母亲姓王，就会给其注明“王某某胎儿”。</w:t>
      </w:r>
    </w:p>
    <w:p>
      <w:pPr>
        <w:pStyle w:val="BodyText"/>
        <w:spacing w:line="328" w:lineRule="auto"/>
        <w:ind w:left="886" w:right="471" w:firstLine="480"/>
      </w:pPr>
      <w:r>
        <w:rPr/>
        <w:t>刘加良表示，民法典（草案）中的条文除涉及遗产继承外，还涉及接受赠与， 而且后面还有一个“等”字。</w:t>
      </w:r>
    </w:p>
    <w:p>
      <w:pPr>
        <w:pStyle w:val="BodyText"/>
        <w:spacing w:line="328" w:lineRule="auto"/>
        <w:ind w:left="886" w:right="471" w:firstLine="480"/>
      </w:pPr>
      <w:r>
        <w:rPr/>
        <w:t>他称，“等”字的含义在法条中通常有两种：一种是表示列举未穷尽，表示 </w:t>
      </w:r>
      <w:r>
        <w:rPr>
          <w:spacing w:val="-1"/>
        </w:rPr>
        <w:t>“目前还有”；另一种是为将来做预留，表示“当前没有，以后可能有”。民法典</w:t>
      </w:r>
    </w:p>
    <w:p>
      <w:pPr>
        <w:pStyle w:val="BodyText"/>
        <w:spacing w:line="328" w:lineRule="auto"/>
        <w:ind w:left="886" w:right="471"/>
        <w:jc w:val="both"/>
      </w:pPr>
      <w:r>
        <w:rPr/>
        <w:t>（草案）涉及胎儿利益保护这个条文中的“等”字属于第二种情况。就是说，将来除了继承和接受赠与，出现新的事项，立法部门也可以把其纳进来。相比继承法， 民法典（草案）的设计更有利于对胎儿的权益进行周全的保护。</w:t>
      </w:r>
    </w:p>
    <w:p>
      <w:pPr>
        <w:pStyle w:val="BodyText"/>
        <w:spacing w:line="328" w:lineRule="auto"/>
        <w:ind w:left="886" w:right="471" w:firstLine="480"/>
      </w:pPr>
      <w:r>
        <w:rPr/>
        <w:t>除了规定诸多对胎儿权利的保护，民法典（草案）中还提到了多项对老年人权利的保护举措。</w:t>
      </w:r>
    </w:p>
    <w:p>
      <w:pPr>
        <w:pStyle w:val="BodyText"/>
        <w:spacing w:line="328" w:lineRule="auto"/>
        <w:ind w:left="886" w:right="471" w:firstLine="480"/>
        <w:jc w:val="both"/>
      </w:pPr>
      <w:r>
        <w:rPr>
          <w:spacing w:val="-20"/>
        </w:rPr>
        <w:t>截至 </w:t>
      </w:r>
      <w:r>
        <w:rPr/>
        <w:t>2019</w:t>
      </w:r>
      <w:r>
        <w:rPr>
          <w:spacing w:val="-18"/>
        </w:rPr>
        <w:t> 年末，我国 </w:t>
      </w:r>
      <w:r>
        <w:rPr/>
        <w:t>60</w:t>
      </w:r>
      <w:r>
        <w:rPr>
          <w:spacing w:val="-8"/>
        </w:rPr>
        <w:t> 周岁及以上人口达 </w:t>
      </w:r>
      <w:r>
        <w:rPr/>
        <w:t>25388</w:t>
      </w:r>
      <w:r>
        <w:rPr>
          <w:spacing w:val="-14"/>
        </w:rPr>
        <w:t> 万人，占总人口的 </w:t>
      </w:r>
      <w:r>
        <w:rPr>
          <w:spacing w:val="-3"/>
        </w:rPr>
        <w:t>18.1%， </w:t>
      </w:r>
      <w:r>
        <w:rPr>
          <w:spacing w:val="-20"/>
        </w:rPr>
        <w:t>其中 </w:t>
      </w:r>
      <w:r>
        <w:rPr/>
        <w:t>65</w:t>
      </w:r>
      <w:r>
        <w:rPr>
          <w:spacing w:val="-14"/>
        </w:rPr>
        <w:t> 周岁及以上人口达 </w:t>
      </w:r>
      <w:r>
        <w:rPr/>
        <w:t>17603</w:t>
      </w:r>
      <w:r>
        <w:rPr>
          <w:spacing w:val="-13"/>
        </w:rPr>
        <w:t> 万人，占总人口 的 </w:t>
      </w:r>
      <w:r>
        <w:rPr/>
        <w:t>12.6%。我国已成为目前世界上老年人口最多的国家。</w:t>
      </w:r>
    </w:p>
    <w:p>
      <w:pPr>
        <w:spacing w:after="0" w:line="328" w:lineRule="auto"/>
        <w:jc w:val="both"/>
        <w:sectPr>
          <w:pgSz w:w="11900" w:h="16840"/>
          <w:pgMar w:header="0" w:footer="735" w:top="1480" w:bottom="920" w:left="700" w:right="1200"/>
        </w:sectPr>
      </w:pPr>
    </w:p>
    <w:p>
      <w:pPr>
        <w:pStyle w:val="BodyText"/>
        <w:spacing w:line="328" w:lineRule="auto" w:before="53"/>
        <w:ind w:left="886" w:right="591" w:firstLine="480"/>
      </w:pPr>
      <w:r>
        <w:rPr/>
        <w:t>现实生活中，一些老人面临的养老等个人权利未受到充分保护。比如，2017 </w:t>
      </w:r>
      <w:r>
        <w:rPr>
          <w:spacing w:val="-31"/>
        </w:rPr>
        <w:t>年 </w:t>
      </w:r>
      <w:r>
        <w:rPr/>
        <w:t>12</w:t>
      </w:r>
      <w:r>
        <w:rPr>
          <w:spacing w:val="-9"/>
        </w:rPr>
        <w:t> 月，一则名为《儿子移民国外，八旬独居老人街头贴广告求“收养”：我不</w:t>
      </w:r>
    </w:p>
    <w:p>
      <w:pPr>
        <w:pStyle w:val="BodyText"/>
        <w:spacing w:line="305" w:lineRule="exact"/>
        <w:ind w:left="886"/>
      </w:pPr>
      <w:r>
        <w:rPr>
          <w:spacing w:val="-2"/>
        </w:rPr>
        <w:t>去养老院，想有个家》的视频在网上热传。视频显示，天津市南开区一位 </w:t>
      </w:r>
      <w:r>
        <w:rPr/>
        <w:t>85</w:t>
      </w:r>
      <w:r>
        <w:rPr>
          <w:spacing w:val="-20"/>
        </w:rPr>
        <w:t> 岁的</w:t>
      </w:r>
    </w:p>
    <w:p>
      <w:pPr>
        <w:pStyle w:val="BodyText"/>
        <w:spacing w:line="328" w:lineRule="auto" w:before="113"/>
        <w:ind w:left="886" w:right="471"/>
      </w:pPr>
      <w:r>
        <w:rPr>
          <w:spacing w:val="-3"/>
        </w:rPr>
        <w:t>老人在公交站贴纸条，寻求收养人。他称，自己每月退休金 </w:t>
      </w:r>
      <w:r>
        <w:rPr/>
        <w:t>6000</w:t>
      </w:r>
      <w:r>
        <w:rPr>
          <w:spacing w:val="-8"/>
        </w:rPr>
        <w:t> 多元，其子同意</w:t>
      </w:r>
      <w:r>
        <w:rPr>
          <w:spacing w:val="-9"/>
        </w:rPr>
        <w:t>他通过此举为自己养老。但最终，对其表达同情的好心人不少，却没有人愿意做他</w:t>
      </w:r>
      <w:r>
        <w:rPr/>
        <w:t>的“收养人”。</w:t>
      </w:r>
    </w:p>
    <w:p>
      <w:pPr>
        <w:pStyle w:val="BodyText"/>
        <w:spacing w:line="328" w:lineRule="auto"/>
        <w:ind w:left="886" w:right="471" w:firstLine="480"/>
        <w:jc w:val="both"/>
      </w:pPr>
      <w:r>
        <w:rPr/>
        <w:t>民法典（草案）</w:t>
      </w:r>
      <w:r>
        <w:rPr>
          <w:spacing w:val="-1"/>
        </w:rPr>
        <w:t>在继承编中，完善了遗赠扶养协议制度，适当扩大了扶养人范围，将现行继承法相关规定修改为“自然人可以与继承人以外的组织或者个人签订遗赠扶养协议。按照协议，该组织或者个人承担该自然人生养死葬的义务，享有受</w:t>
      </w:r>
      <w:r>
        <w:rPr/>
        <w:t>遗赠的权利”。</w:t>
      </w:r>
    </w:p>
    <w:p>
      <w:pPr>
        <w:pStyle w:val="BodyText"/>
        <w:spacing w:line="328" w:lineRule="auto"/>
        <w:ind w:left="886" w:right="471" w:firstLine="480"/>
        <w:jc w:val="both"/>
      </w:pPr>
      <w:r>
        <w:rPr/>
        <w:t>受访专家称，这一条满足了养老形式的多样化需求，意味着今后只要老人与相关组织或个人达成意愿，就可以与其签订遗赠扶养协议。这也是在法律层面上，我国对社会化家庭养老形式的探索。</w:t>
      </w:r>
    </w:p>
    <w:p>
      <w:pPr>
        <w:pStyle w:val="BodyText"/>
        <w:spacing w:line="328" w:lineRule="auto"/>
        <w:ind w:left="886" w:right="471" w:firstLine="480"/>
      </w:pPr>
      <w:r>
        <w:rPr/>
        <w:t>此外，继承编中还新增了“宽恕制度”。该编针对继承人规定了五种丧失继承权的情形：故意杀害被继承人；为争夺遗产而杀害其他继承人；遗弃被继承人,或者虐待被继承人情节严重；伪造、篡改、隐匿或者销毁遗嘱,情节严重；以欺诈、胁迫手段迫使或者妨碍被继承人设立、变更或者撤回遗嘱,情节严重。</w:t>
      </w:r>
    </w:p>
    <w:p>
      <w:pPr>
        <w:pStyle w:val="BodyText"/>
        <w:spacing w:line="328" w:lineRule="auto"/>
        <w:ind w:left="886" w:right="471" w:firstLine="480"/>
        <w:jc w:val="both"/>
      </w:pPr>
      <w:r>
        <w:rPr/>
        <w:t>值得注意的是，该编特别规定：继承人有前款第三项至第五项行为，确有悔改表现，被继承人表示宽恕或者事后在遗嘱中将其列为继承人的，该继承人不丧失继承权。</w:t>
      </w:r>
    </w:p>
    <w:p>
      <w:pPr>
        <w:pStyle w:val="BodyText"/>
        <w:spacing w:line="328" w:lineRule="auto"/>
        <w:ind w:left="886" w:right="471" w:firstLine="480"/>
      </w:pPr>
      <w:r>
        <w:rPr/>
        <w:t>业界分析认为，继承编规定了继承权丧失的情形，还特别规定了丧失继承权的宽恕制度，填补了我国继承法的空白，有重要的价值，让继承原则上更有弹性。</w:t>
      </w:r>
    </w:p>
    <w:p>
      <w:pPr>
        <w:pStyle w:val="BodyText"/>
        <w:spacing w:line="328" w:lineRule="auto"/>
        <w:ind w:left="886" w:right="471" w:firstLine="480"/>
      </w:pPr>
      <w:r>
        <w:rPr/>
        <w:t>刘加良称，设计宽恕制度使得继承权的丧失，有了绝对丧失和相对丧失的区 </w:t>
      </w:r>
      <w:r>
        <w:rPr>
          <w:spacing w:val="-1"/>
        </w:rPr>
        <w:t>分，规则设计显得更为精细。这有助于改善行为人与被继承人之间的亲属关系，使被继承人生前有更好的亲属关系氛围、可在物质或精神层面得到更好的照顾。遗嘱继承往往会缩小继承人的范围，在被继承人的亲属范围内容易引发矛盾或争议，设计宽恕制度可体现被继承人的自主意志，预防因特定主体提前丧失继承权而影响亲</w:t>
      </w:r>
      <w:r>
        <w:rPr/>
        <w:t>属关系和家庭稳定。</w:t>
      </w:r>
    </w:p>
    <w:p>
      <w:pPr>
        <w:pStyle w:val="BodyText"/>
        <w:spacing w:line="328" w:lineRule="auto"/>
        <w:ind w:left="886" w:right="471" w:firstLine="480"/>
        <w:jc w:val="both"/>
      </w:pPr>
      <w:r>
        <w:rPr/>
        <w:t>现行继承法规定：自书、代书、录音、口头遗嘱，不得撤销、变更公证遗嘱。这意味着，老人如果在情况危急时，即便已通过口头或书面等方式修改遗嘱，如果最终无法再跑一趟公证处进行变更便去世，便容易造成违反遗嘱人意志的后果。</w:t>
      </w:r>
    </w:p>
    <w:p>
      <w:pPr>
        <w:pStyle w:val="BodyText"/>
        <w:spacing w:line="328" w:lineRule="auto"/>
        <w:ind w:left="886" w:right="471" w:firstLine="480"/>
      </w:pPr>
      <w:r>
        <w:rPr/>
        <w:t>多位专家表示，继承法中规定公证遗嘱效率优先的目的，是保证立遗嘱人的意愿更加真实。而随着科技的发展，已经可以通过多种方案保证其真实性。因此，这</w:t>
      </w:r>
    </w:p>
    <w:p>
      <w:pPr>
        <w:spacing w:after="0" w:line="328" w:lineRule="auto"/>
        <w:sectPr>
          <w:pgSz w:w="11900" w:h="16840"/>
          <w:pgMar w:header="0" w:footer="735" w:top="1480" w:bottom="920" w:left="700" w:right="1200"/>
        </w:sectPr>
      </w:pPr>
    </w:p>
    <w:p>
      <w:pPr>
        <w:pStyle w:val="BodyText"/>
        <w:spacing w:line="328" w:lineRule="auto" w:before="53"/>
        <w:ind w:left="886" w:right="471"/>
      </w:pPr>
      <w:r>
        <w:rPr/>
        <w:t>一规定，就不再适应当下发展。为此，民法典（草案）继承编中删除了公证遗嘱效力优先的规定，更加尊重遗嘱人的真实意愿，也顺应了当今公证改革的趋势。</w:t>
      </w:r>
    </w:p>
    <w:p>
      <w:pPr>
        <w:pStyle w:val="BodyText"/>
        <w:spacing w:line="328" w:lineRule="auto"/>
        <w:ind w:left="886" w:right="471" w:firstLine="480"/>
      </w:pPr>
      <w:r>
        <w:rPr/>
        <w:drawing>
          <wp:anchor distT="0" distB="0" distL="0" distR="0" allowOverlap="1" layoutInCell="1" locked="0" behindDoc="1" simplePos="0" relativeHeight="250449920">
            <wp:simplePos x="0" y="0"/>
            <wp:positionH relativeFrom="page">
              <wp:posOffset>1312163</wp:posOffset>
            </wp:positionH>
            <wp:positionV relativeFrom="paragraph">
              <wp:posOffset>462661</wp:posOffset>
            </wp:positionV>
            <wp:extent cx="4369308" cy="1964436"/>
            <wp:effectExtent l="0" t="0" r="0" b="0"/>
            <wp:wrapNone/>
            <wp:docPr id="45" name="image20.jpeg"/>
            <wp:cNvGraphicFramePr>
              <a:graphicFrameLocks noChangeAspect="1"/>
            </wp:cNvGraphicFramePr>
            <a:graphic>
              <a:graphicData uri="http://schemas.openxmlformats.org/drawingml/2006/picture">
                <pic:pic>
                  <pic:nvPicPr>
                    <pic:cNvPr id="46" name="image20.jpeg"/>
                    <pic:cNvPicPr/>
                  </pic:nvPicPr>
                  <pic:blipFill>
                    <a:blip r:embed="rId28" cstate="print"/>
                    <a:stretch>
                      <a:fillRect/>
                    </a:stretch>
                  </pic:blipFill>
                  <pic:spPr>
                    <a:xfrm>
                      <a:off x="0" y="0"/>
                      <a:ext cx="4369308" cy="1964436"/>
                    </a:xfrm>
                    <a:prstGeom prst="rect">
                      <a:avLst/>
                    </a:prstGeom>
                  </pic:spPr>
                </pic:pic>
              </a:graphicData>
            </a:graphic>
          </wp:anchor>
        </w:drawing>
      </w:r>
      <w:r>
        <w:rPr/>
        <w:t>此外，为适应现代技术的发展需要，继承编中还增加了打印、录像等新的遗嘱形式。</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6"/>
        <w:rPr>
          <w:sz w:val="18"/>
        </w:rPr>
      </w:pPr>
    </w:p>
    <w:p>
      <w:pPr>
        <w:pStyle w:val="BodyText"/>
        <w:spacing w:line="242" w:lineRule="auto"/>
        <w:ind w:left="886" w:right="471" w:firstLine="480"/>
        <w:rPr>
          <w:rFonts w:ascii="楷体" w:hAnsi="楷体" w:eastAsia="楷体" w:hint="eastAsia"/>
        </w:rPr>
      </w:pPr>
      <w:r>
        <w:rPr>
          <w:rFonts w:ascii="楷体" w:hAnsi="楷体" w:eastAsia="楷体" w:hint="eastAsia"/>
        </w:rPr>
        <w:t>2017</w:t>
      </w:r>
      <w:r>
        <w:rPr>
          <w:rFonts w:ascii="楷体" w:hAnsi="楷体" w:eastAsia="楷体" w:hint="eastAsia"/>
          <w:spacing w:val="-27"/>
        </w:rPr>
        <w:t> 年 </w:t>
      </w:r>
      <w:r>
        <w:rPr>
          <w:rFonts w:ascii="楷体" w:hAnsi="楷体" w:eastAsia="楷体" w:hint="eastAsia"/>
        </w:rPr>
        <w:t>12</w:t>
      </w:r>
      <w:r>
        <w:rPr>
          <w:rFonts w:ascii="楷体" w:hAnsi="楷体" w:eastAsia="楷体" w:hint="eastAsia"/>
          <w:spacing w:val="-7"/>
        </w:rPr>
        <w:t> 月，一则名为《儿子移民国外，八旬独居老人街头贴广告求“收养</w:t>
      </w:r>
      <w:r>
        <w:rPr>
          <w:rFonts w:ascii="楷体" w:hAnsi="楷体" w:eastAsia="楷体" w:hint="eastAsia"/>
          <w:spacing w:val="-8"/>
        </w:rPr>
        <w:t>”：我不去养老院，想有个家》的视频在网上热传。视频显示，天津市南开区一位</w:t>
      </w:r>
      <w:r>
        <w:rPr>
          <w:rFonts w:ascii="楷体" w:hAnsi="楷体" w:eastAsia="楷体" w:hint="eastAsia"/>
          <w:spacing w:val="-60"/>
        </w:rPr>
        <w:t> </w:t>
      </w:r>
      <w:r>
        <w:rPr>
          <w:rFonts w:ascii="楷体" w:hAnsi="楷体" w:eastAsia="楷体" w:hint="eastAsia"/>
        </w:rPr>
        <w:t>85</w:t>
      </w:r>
      <w:r>
        <w:rPr>
          <w:rFonts w:ascii="楷体" w:hAnsi="楷体" w:eastAsia="楷体" w:hint="eastAsia"/>
          <w:spacing w:val="-8"/>
        </w:rPr>
        <w:t> 岁的老人在公交站贴纸条，寻求收养人。</w:t>
      </w:r>
    </w:p>
    <w:p>
      <w:pPr>
        <w:pStyle w:val="Heading3"/>
        <w:spacing w:before="113"/>
        <w:ind w:left="1366"/>
      </w:pPr>
      <w:r>
        <w:rPr/>
        <w:t>物权编：新增居住权制度，让弱者有其居</w:t>
      </w:r>
    </w:p>
    <w:p>
      <w:pPr>
        <w:pStyle w:val="BodyText"/>
        <w:spacing w:line="328" w:lineRule="auto" w:before="112"/>
        <w:ind w:left="886" w:right="471" w:firstLine="480"/>
      </w:pPr>
      <w:r>
        <w:rPr/>
        <w:t>民法典（草案）</w:t>
      </w:r>
      <w:r>
        <w:rPr>
          <w:spacing w:val="-1"/>
        </w:rPr>
        <w:t>中的物权编，是以现行单行法物权法为基础进行修改的。这也</w:t>
      </w:r>
      <w:r>
        <w:rPr>
          <w:spacing w:val="-20"/>
        </w:rPr>
        <w:t>是自 </w:t>
      </w:r>
      <w:r>
        <w:rPr/>
        <w:t>2007</w:t>
      </w:r>
      <w:r>
        <w:rPr>
          <w:spacing w:val="-8"/>
        </w:rPr>
        <w:t> 年出台后首次对物权法进行修改。物权编中新增的居住权制度等被认为是一大亮点。</w:t>
      </w:r>
    </w:p>
    <w:p>
      <w:pPr>
        <w:pStyle w:val="BodyText"/>
        <w:spacing w:line="328" w:lineRule="auto"/>
        <w:ind w:left="886" w:right="471" w:firstLine="480"/>
      </w:pPr>
      <w:r>
        <w:rPr>
          <w:spacing w:val="-1"/>
        </w:rPr>
        <w:t>王利明称，所谓居住权，是指以居住为目的，对他人的住房及其附属设施所享有的占有、使用的权利。在物权法制定的过程中，对于是否规定居住权问题，曾有</w:t>
      </w:r>
      <w:r>
        <w:rPr/>
        <w:t>过较大争议，后立法机关认为房屋租赁等权利能满足居住需求，就未再规定居住 </w:t>
      </w:r>
      <w:r>
        <w:rPr>
          <w:spacing w:val="-1"/>
        </w:rPr>
        <w:t>权。在物权法颁布实施后，随着社会环境的变化，居住权应成为物权的呼声愈来愈</w:t>
      </w:r>
      <w:r>
        <w:rPr/>
        <w:t>高，为了回应这种社会需求，民法典（草案）</w:t>
      </w:r>
      <w:r>
        <w:rPr>
          <w:spacing w:val="-2"/>
        </w:rPr>
        <w:t>增设了居住权，将之作为用益物权的</w:t>
      </w:r>
      <w:r>
        <w:rPr/>
        <w:t>一种。</w:t>
      </w:r>
    </w:p>
    <w:p>
      <w:pPr>
        <w:pStyle w:val="BodyText"/>
        <w:spacing w:line="300" w:lineRule="exact"/>
        <w:ind w:left="1366"/>
      </w:pPr>
      <w:r>
        <w:rPr/>
        <w:t>多位民法学专家表示，居住权制度在今后的法律实践中将发挥积极意义。</w:t>
      </w:r>
    </w:p>
    <w:p>
      <w:pPr>
        <w:pStyle w:val="BodyText"/>
        <w:spacing w:line="328" w:lineRule="auto" w:before="109"/>
        <w:ind w:left="886" w:right="471" w:firstLine="480"/>
      </w:pPr>
      <w:r>
        <w:rPr>
          <w:spacing w:val="-1"/>
        </w:rPr>
        <w:t>中国法学会民法学研究会副秘书长、北京理工大学法学院民法典研究中心主任孟强告诉《中国新闻周刊》：“我们查过很多案例，发现居住权立法之前，不少案件中，法官都已经开始使用居住权的概念来裁判案件了。例如，在一些案件中，父母为子女购置房屋并登记在子女名下，但后来却遭到子女的驱赶；有些老人丧偶后再婚，去世后子女就要求老人后娶的老伴立刻搬走。诸如此类的案例并不少见。这</w:t>
      </w:r>
      <w:r>
        <w:rPr/>
        <w:t>些案件中弱势一方的个人权利没有得到充分保障，只能依靠法官的自由裁量来保 障。新增的居住权则在立法上充分保障了这部分群体的居住权利。”</w:t>
      </w:r>
    </w:p>
    <w:p>
      <w:pPr>
        <w:spacing w:after="0" w:line="328" w:lineRule="auto"/>
        <w:sectPr>
          <w:pgSz w:w="11900" w:h="16840"/>
          <w:pgMar w:header="0" w:footer="735" w:top="1480" w:bottom="920" w:left="700" w:right="1200"/>
        </w:sectPr>
      </w:pPr>
    </w:p>
    <w:p>
      <w:pPr>
        <w:pStyle w:val="BodyText"/>
        <w:spacing w:line="328" w:lineRule="auto" w:before="53"/>
        <w:ind w:left="886" w:right="471" w:firstLine="480"/>
        <w:jc w:val="both"/>
      </w:pPr>
      <w:r>
        <w:rPr/>
        <w:t>他称，居住权制度主要目的是解决一些自己没有单独住处、只能居住在别人房屋来生活的人的权利，他们大多是离婚无房的配偶、年老无房的父母、未成年的子女、年迈的保姆等弱势一方，他们的居住依赖产权人的态度，所以生活场所稳定性不足。这次，民法典（草案）增设居住权的用益物权类型之后，房屋的产权人就可以为他们设立居住权，并向登记机构进行居住权登记，这样就意味着他们获得了所寄居的房屋的用益物权，可以对他人的住宅进行占有、使用，以满足生活居住的需要，房屋产权的更替也不能影响到居住权的行使，房东就不能随意赶他们走，保证这类人有一个稳固的居住场所。</w:t>
      </w:r>
    </w:p>
    <w:p>
      <w:pPr>
        <w:pStyle w:val="BodyText"/>
        <w:spacing w:line="328" w:lineRule="auto"/>
        <w:ind w:left="886" w:right="471" w:firstLine="480"/>
        <w:jc w:val="both"/>
      </w:pPr>
      <w:r>
        <w:rPr/>
        <w:t>孟强举例称，比如，老人担心去世后，照顾了自己几十年的保姆无处可去，就可以将自己房子的一间给保姆设立居住权，允许其长期居住，保姆的居住条件就得到了保障；再比如，一些老人把房子过户给子女的同时，可以要求对房屋享有居住权，从而不用担心以后被儿女赶走；一些夫妻离婚后，其中放弃房屋产权的一方可以同时协商设立居住权，另一方允许其在找到居住场所前继续居住……</w:t>
      </w:r>
    </w:p>
    <w:p>
      <w:pPr>
        <w:pStyle w:val="BodyText"/>
        <w:spacing w:line="301" w:lineRule="exact"/>
        <w:ind w:left="1366"/>
      </w:pPr>
      <w:r>
        <w:rPr/>
        <w:t>与和现行物权法相比，物权编还有诸多亮点。</w:t>
      </w:r>
    </w:p>
    <w:p>
      <w:pPr>
        <w:pStyle w:val="BodyText"/>
        <w:spacing w:line="328" w:lineRule="auto" w:before="102"/>
        <w:ind w:left="886" w:right="471" w:firstLine="480"/>
        <w:jc w:val="both"/>
      </w:pPr>
      <w:r>
        <w:rPr/>
        <w:t>全国人大常委会法制工作委员会主任沈春耀称，实践中，一些物业服务企业未征求业主意见，擅自改变共有部分的用途，或者利用外墙、电梯张贴广告等营利。对此，民法典（草案）增加规定，改变共用部分的用途或者利用共有部分从事经营活动应当由业主共同决定。草案还明确，建设单位、物业服务企业或其他管理人等利用业主共有部分产生的收益，在扣除合理成本之后，属于业主共有。</w:t>
      </w:r>
    </w:p>
    <w:p>
      <w:pPr>
        <w:pStyle w:val="BodyText"/>
        <w:spacing w:line="328" w:lineRule="auto"/>
        <w:ind w:left="886" w:right="591" w:firstLine="480"/>
        <w:jc w:val="both"/>
      </w:pPr>
      <w:r>
        <w:rPr>
          <w:spacing w:val="-5"/>
        </w:rPr>
        <w:t>此外，物权编中还明确住宅 </w:t>
      </w:r>
      <w:r>
        <w:rPr/>
        <w:t>70</w:t>
      </w:r>
      <w:r>
        <w:rPr>
          <w:spacing w:val="-8"/>
        </w:rPr>
        <w:t> 年自动续期，进一步落实农村土地“三权</w:t>
      </w:r>
      <w:r>
        <w:rPr/>
        <w:t>（</w:t>
      </w:r>
      <w:r>
        <w:rPr>
          <w:spacing w:val="-17"/>
        </w:rPr>
        <w:t>即</w:t>
      </w:r>
      <w:r>
        <w:rPr/>
        <w:t>所有权、承包权、经营权）分置”等做出规定。</w:t>
      </w:r>
    </w:p>
    <w:p>
      <w:pPr>
        <w:pStyle w:val="Heading3"/>
        <w:spacing w:line="305" w:lineRule="exact"/>
        <w:ind w:left="1366"/>
      </w:pPr>
      <w:r>
        <w:rPr/>
        <w:t>合同编：明确禁止高利放贷</w:t>
      </w:r>
    </w:p>
    <w:p>
      <w:pPr>
        <w:pStyle w:val="BodyText"/>
        <w:spacing w:line="328" w:lineRule="auto" w:before="107"/>
        <w:ind w:left="886" w:right="471" w:firstLine="480"/>
      </w:pPr>
      <w:r>
        <w:rPr/>
        <w:t>民法典（草案）在合同编规定：禁止高利放贷，借款的利率不得违反国家有关规定。</w:t>
      </w:r>
    </w:p>
    <w:p>
      <w:pPr>
        <w:pStyle w:val="BodyText"/>
        <w:spacing w:line="328" w:lineRule="auto"/>
        <w:ind w:left="886" w:right="471" w:firstLine="480"/>
      </w:pPr>
      <w:r>
        <w:rPr>
          <w:spacing w:val="-1"/>
        </w:rPr>
        <w:t>近些年来，随着创业潮的兴起，民间借贷的口子放得有些太开，最高人民法院</w:t>
      </w:r>
      <w:r>
        <w:rPr>
          <w:spacing w:val="-30"/>
        </w:rPr>
        <w:t>于 </w:t>
      </w:r>
      <w:r>
        <w:rPr/>
        <w:t>2015</w:t>
      </w:r>
      <w:r>
        <w:rPr>
          <w:spacing w:val="-40"/>
        </w:rPr>
        <w:t> 年 </w:t>
      </w:r>
      <w:r>
        <w:rPr/>
        <w:t>8</w:t>
      </w:r>
      <w:r>
        <w:rPr>
          <w:spacing w:val="-40"/>
        </w:rPr>
        <w:t> 月 </w:t>
      </w:r>
      <w:r>
        <w:rPr/>
        <w:t>6</w:t>
      </w:r>
      <w:r>
        <w:rPr>
          <w:spacing w:val="-8"/>
        </w:rPr>
        <w:t> 日公布《最高人民法院关于审理民间借贷案件适用法律若干问题</w:t>
      </w:r>
      <w:r>
        <w:rPr>
          <w:spacing w:val="-10"/>
        </w:rPr>
        <w:t>的规定》的第二十六条规定：借贷双方约定的利率未超过年利率 </w:t>
      </w:r>
      <w:r>
        <w:rPr/>
        <w:t>24%，出借人请求</w:t>
      </w:r>
      <w:r>
        <w:rPr>
          <w:spacing w:val="-1"/>
        </w:rPr>
        <w:t>借款人按照约定的利率支付利息的，人民法院应予支持。借贷双方约定的利率超过</w:t>
      </w:r>
      <w:r>
        <w:rPr>
          <w:spacing w:val="-15"/>
        </w:rPr>
        <w:t>年利率 </w:t>
      </w:r>
      <w:r>
        <w:rPr/>
        <w:t>36%，超过部分的利息约定无效。借款人请求出借人返还已支付的超过年利</w:t>
      </w:r>
      <w:r>
        <w:rPr>
          <w:spacing w:val="-30"/>
        </w:rPr>
        <w:t>率 </w:t>
      </w:r>
      <w:r>
        <w:rPr/>
        <w:t>36%部分的利息的，人民法院应予支持。</w:t>
      </w:r>
    </w:p>
    <w:p>
      <w:pPr>
        <w:pStyle w:val="BodyText"/>
        <w:spacing w:line="328" w:lineRule="auto"/>
        <w:ind w:left="886" w:right="471" w:firstLine="480"/>
      </w:pPr>
      <w:r>
        <w:rPr/>
        <w:t>孟强称，在经济增长放缓的大环境下，上述年利率普遍被认为太高，容易吸引资本脱实向虚，也导致在民间借贷领域经常发生法律纠纷。网贷变成“套路贷”，</w:t>
      </w:r>
    </w:p>
    <w:p>
      <w:pPr>
        <w:spacing w:after="0" w:line="328" w:lineRule="auto"/>
        <w:sectPr>
          <w:pgSz w:w="11900" w:h="16840"/>
          <w:pgMar w:header="0" w:footer="735" w:top="1480" w:bottom="920" w:left="700" w:right="1200"/>
        </w:sectPr>
      </w:pPr>
    </w:p>
    <w:p>
      <w:pPr>
        <w:pStyle w:val="BodyText"/>
        <w:spacing w:line="328" w:lineRule="auto" w:before="53"/>
        <w:ind w:left="886" w:right="711"/>
      </w:pPr>
      <w:r>
        <w:rPr/>
        <w:t>“现金贷”变身高利贷……近年来，民间借贷领域问题频出，既影响正常金融秩序，也给经济社会稳定带来隐患，亟须通过法律进行规范。</w:t>
      </w:r>
    </w:p>
    <w:p>
      <w:pPr>
        <w:pStyle w:val="BodyText"/>
        <w:spacing w:line="328" w:lineRule="auto"/>
        <w:ind w:left="886" w:right="471" w:firstLine="480"/>
        <w:jc w:val="both"/>
      </w:pPr>
      <w:r>
        <w:rPr/>
        <w:t>他说，现在，在民法典中确禁止高利贷，代表着在国家层面对高利贷进行坚决禁止和严厉打击的态度。这一规定在沿袭现行合同法有关规定的基础上做出了更加明确的宣示，也与最高人民法院近年来制定的民间借贷相关司法解释规定相衔接， 为应对民间借贷领域有关问题提供更加充分的法律依据。</w:t>
      </w:r>
    </w:p>
    <w:p>
      <w:pPr>
        <w:pStyle w:val="BodyText"/>
        <w:spacing w:line="328" w:lineRule="auto"/>
        <w:ind w:left="886" w:right="471" w:firstLine="480"/>
      </w:pPr>
      <w:r>
        <w:rPr/>
        <w:drawing>
          <wp:anchor distT="0" distB="0" distL="0" distR="0" allowOverlap="1" layoutInCell="1" locked="0" behindDoc="1" simplePos="0" relativeHeight="250450944">
            <wp:simplePos x="0" y="0"/>
            <wp:positionH relativeFrom="page">
              <wp:posOffset>1519427</wp:posOffset>
            </wp:positionH>
            <wp:positionV relativeFrom="paragraph">
              <wp:posOffset>996061</wp:posOffset>
            </wp:positionV>
            <wp:extent cx="4797552" cy="1682496"/>
            <wp:effectExtent l="0" t="0" r="0" b="0"/>
            <wp:wrapNone/>
            <wp:docPr id="47" name="image21.jpeg"/>
            <wp:cNvGraphicFramePr>
              <a:graphicFrameLocks noChangeAspect="1"/>
            </wp:cNvGraphicFramePr>
            <a:graphic>
              <a:graphicData uri="http://schemas.openxmlformats.org/drawingml/2006/picture">
                <pic:pic>
                  <pic:nvPicPr>
                    <pic:cNvPr id="48" name="image21.jpeg"/>
                    <pic:cNvPicPr/>
                  </pic:nvPicPr>
                  <pic:blipFill>
                    <a:blip r:embed="rId29" cstate="print"/>
                    <a:stretch>
                      <a:fillRect/>
                    </a:stretch>
                  </pic:blipFill>
                  <pic:spPr>
                    <a:xfrm>
                      <a:off x="0" y="0"/>
                      <a:ext cx="4797552" cy="1682496"/>
                    </a:xfrm>
                    <a:prstGeom prst="rect">
                      <a:avLst/>
                    </a:prstGeom>
                  </pic:spPr>
                </pic:pic>
              </a:graphicData>
            </a:graphic>
          </wp:anchor>
        </w:drawing>
      </w:r>
      <w:r>
        <w:rPr/>
        <w:t>孟强告诉《中国新闻周刊》，值得注意的是，这次民法典（草案）中这一规 </w:t>
      </w:r>
      <w:r>
        <w:rPr>
          <w:spacing w:val="-1"/>
        </w:rPr>
        <w:t>定，并未打破上述民间借贷中的相关利息规定，因为这一规定只是较为抽象的、宣言式的规定，主要作用是表明立法机关的态度。但因为民法典地位高，这一规定， </w:t>
      </w:r>
      <w:r>
        <w:rPr/>
        <w:t>为以后我国再做民间借贷方面的单行立法，提供了法律依据。</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
        <w:rPr>
          <w:sz w:val="30"/>
        </w:rPr>
      </w:pPr>
    </w:p>
    <w:p>
      <w:pPr>
        <w:pStyle w:val="BodyText"/>
        <w:spacing w:line="242" w:lineRule="auto"/>
        <w:ind w:left="886" w:right="471" w:firstLine="480"/>
        <w:rPr>
          <w:rFonts w:ascii="楷体" w:eastAsia="楷体" w:hint="eastAsia"/>
        </w:rPr>
      </w:pPr>
      <w:r>
        <w:rPr>
          <w:rFonts w:ascii="楷体" w:eastAsia="楷体" w:hint="eastAsia"/>
        </w:rPr>
        <w:t>2017</w:t>
      </w:r>
      <w:r>
        <w:rPr>
          <w:rFonts w:ascii="楷体" w:eastAsia="楷体" w:hint="eastAsia"/>
          <w:spacing w:val="-35"/>
        </w:rPr>
        <w:t> 年 </w:t>
      </w:r>
      <w:r>
        <w:rPr>
          <w:rFonts w:ascii="楷体" w:eastAsia="楷体" w:hint="eastAsia"/>
        </w:rPr>
        <w:t>4</w:t>
      </w:r>
      <w:r>
        <w:rPr>
          <w:rFonts w:ascii="楷体" w:eastAsia="楷体" w:hint="eastAsia"/>
          <w:spacing w:val="-35"/>
        </w:rPr>
        <w:t> 月 </w:t>
      </w:r>
      <w:r>
        <w:rPr>
          <w:rFonts w:ascii="楷体" w:eastAsia="楷体" w:hint="eastAsia"/>
        </w:rPr>
        <w:t>11</w:t>
      </w:r>
      <w:r>
        <w:rPr>
          <w:rFonts w:ascii="楷体" w:eastAsia="楷体" w:hint="eastAsia"/>
          <w:spacing w:val="-22"/>
        </w:rPr>
        <w:t> 日下午 </w:t>
      </w:r>
      <w:r>
        <w:rPr>
          <w:rFonts w:ascii="楷体" w:eastAsia="楷体" w:hint="eastAsia"/>
        </w:rPr>
        <w:t>2</w:t>
      </w:r>
      <w:r>
        <w:rPr>
          <w:rFonts w:ascii="楷体" w:eastAsia="楷体" w:hint="eastAsia"/>
          <w:spacing w:val="-8"/>
        </w:rPr>
        <w:t> 时许，在泉州城东一高校旁的某宾馆，熊先生的女儿、厦门华厦学院大二在校女学生如梦（化名），</w:t>
      </w:r>
      <w:r>
        <w:rPr>
          <w:rFonts w:ascii="楷体" w:eastAsia="楷体" w:hint="eastAsia"/>
          <w:spacing w:val="-9"/>
        </w:rPr>
        <w:t>因卷入校园贷，不堪还债压力和催债电话骚扰，选择自杀。图为如梦生前拍的借条照片。</w:t>
      </w:r>
    </w:p>
    <w:p>
      <w:pPr>
        <w:pStyle w:val="Heading3"/>
        <w:spacing w:before="110"/>
        <w:ind w:left="1366"/>
      </w:pPr>
      <w:r>
        <w:rPr>
          <w:w w:val="95"/>
        </w:rPr>
        <w:t>人格权编：扩大性骚扰防护主体</w:t>
      </w:r>
    </w:p>
    <w:p>
      <w:pPr>
        <w:pStyle w:val="BodyText"/>
        <w:spacing w:line="328" w:lineRule="auto" w:before="113"/>
        <w:ind w:left="886" w:right="471" w:firstLine="480"/>
      </w:pPr>
      <w:r>
        <w:rPr>
          <w:spacing w:val="-1"/>
        </w:rPr>
        <w:t>中国人民大学常务副校长、中国法学会副会长、民法学会会长王利明告诉《中</w:t>
      </w:r>
      <w:r>
        <w:rPr/>
        <w:t>国新闻周刊》，民法典（草案）最大的亮点就是，人格权法和侵权责任法独立成 编，这在世界民生立法中没有先例。</w:t>
      </w:r>
    </w:p>
    <w:p>
      <w:pPr>
        <w:pStyle w:val="BodyText"/>
        <w:spacing w:line="328" w:lineRule="auto"/>
        <w:ind w:left="886" w:right="471" w:firstLine="480"/>
      </w:pPr>
      <w:r>
        <w:rPr/>
        <w:t>全国人大常委会委员李巍也称，“这部民法典（草案）最大的特点之一，是增加了人格权编。”他认为，这在世界民法典的立法史中具有时代意义和实践意义。</w:t>
      </w:r>
    </w:p>
    <w:p>
      <w:pPr>
        <w:pStyle w:val="BodyText"/>
        <w:spacing w:line="328" w:lineRule="auto"/>
        <w:ind w:left="886" w:right="711" w:firstLine="480"/>
        <w:jc w:val="both"/>
      </w:pPr>
      <w:r>
        <w:rPr/>
        <w:t>人格权是民事主体对其特定的人格利益享有的权利，关系到每个人的人格尊严，被认为是民事主体最基本、最重要的权利，包括生命健康、姓名、肖像、名誉、荣誉、信用、隐私等权利。</w:t>
      </w:r>
    </w:p>
    <w:p>
      <w:pPr>
        <w:pStyle w:val="BodyText"/>
        <w:spacing w:line="304" w:lineRule="exact"/>
        <w:ind w:left="1366"/>
        <w:jc w:val="both"/>
      </w:pPr>
      <w:r>
        <w:rPr/>
        <w:t>早在上个世纪 90 年代初，王利明就呼吁上述两部法律独立成编，并在合同</w:t>
      </w:r>
    </w:p>
    <w:p>
      <w:pPr>
        <w:pStyle w:val="BodyText"/>
        <w:spacing w:line="328" w:lineRule="auto" w:before="106"/>
        <w:ind w:left="886" w:right="471"/>
      </w:pPr>
      <w:r>
        <w:rPr/>
        <w:t>法、物权法等多个领域主张在借鉴两大法系先进经验的基础上，形成具有中国特色的民法学。</w:t>
      </w:r>
    </w:p>
    <w:p>
      <w:pPr>
        <w:spacing w:after="0" w:line="328" w:lineRule="auto"/>
        <w:sectPr>
          <w:pgSz w:w="11900" w:h="16840"/>
          <w:pgMar w:header="0" w:footer="735" w:top="1480" w:bottom="920" w:left="700" w:right="1200"/>
        </w:sectPr>
      </w:pPr>
    </w:p>
    <w:p>
      <w:pPr>
        <w:pStyle w:val="BodyText"/>
        <w:spacing w:line="328" w:lineRule="auto" w:before="53"/>
        <w:ind w:left="886" w:right="471" w:firstLine="480"/>
        <w:jc w:val="both"/>
      </w:pPr>
      <w:r>
        <w:rPr/>
        <w:t>民法典（草案）其他各分编都有现行单行法作基础（比如，物权编有物权法作为基础、侵权责任编有侵权责任法作为基础），人格权编没有专门单行法为基础， 而是在现行法律、行政法规和司法解释基础上进行编纂。</w:t>
      </w:r>
    </w:p>
    <w:p>
      <w:pPr>
        <w:pStyle w:val="BodyText"/>
        <w:spacing w:line="304" w:lineRule="exact"/>
        <w:ind w:left="1366"/>
      </w:pPr>
      <w:r>
        <w:rPr/>
        <w:t>人格权编中，对性骚扰防护主体做了扩大，被认为是一大亮点。</w:t>
      </w:r>
    </w:p>
    <w:p>
      <w:pPr>
        <w:pStyle w:val="BodyText"/>
        <w:spacing w:before="113"/>
        <w:ind w:left="1366"/>
      </w:pPr>
      <w:r>
        <w:rPr/>
        <w:t>2019 年 12 月 28 日提请十三届全国人大常委会第十五次会议审议的民法典</w:t>
      </w:r>
    </w:p>
    <w:p>
      <w:pPr>
        <w:pStyle w:val="BodyText"/>
        <w:spacing w:line="328" w:lineRule="auto" w:before="112"/>
        <w:ind w:left="886" w:right="471"/>
      </w:pPr>
      <w:r>
        <w:rPr/>
        <w:t>（草案），首次以完整版亮相。此次提交审议的人格权编中，对此前草案规定的 </w:t>
      </w:r>
      <w:r>
        <w:rPr>
          <w:spacing w:val="-1"/>
        </w:rPr>
        <w:t>“用人单位应当采取合理措施，防止和制止利用职权、从属关系等实施性骚扰”做</w:t>
      </w:r>
      <w:r>
        <w:rPr/>
        <w:t>出修改，将“用人单位”修改为“机关、企业、学校等单位”。</w:t>
      </w:r>
    </w:p>
    <w:p>
      <w:pPr>
        <w:pStyle w:val="BodyText"/>
        <w:spacing w:line="328" w:lineRule="auto"/>
        <w:ind w:left="886" w:right="471" w:firstLine="480"/>
      </w:pPr>
      <w:r>
        <w:rPr/>
        <w:t>人格权编还有鲜明的时代性，对一些新技术对人格权的挑战，明确划出了法律红线。</w:t>
      </w:r>
    </w:p>
    <w:p>
      <w:pPr>
        <w:pStyle w:val="BodyText"/>
        <w:spacing w:line="328" w:lineRule="auto"/>
        <w:ind w:left="886" w:right="471" w:firstLine="480"/>
        <w:jc w:val="both"/>
      </w:pPr>
      <w:r>
        <w:rPr/>
        <w:t>比如，近年来，“基因编辑婴儿”事件、人体冷冻胚胎权属纠纷案等，引发舆论热议。人格权编明确规定：从事与人体基因、人体胚胎等有关的医学和科研活动的，应当遵守法律、行政法规和国家有关规定，不得危害人体健康，不得违背伦理道德，不得损害公共利益。</w:t>
      </w:r>
    </w:p>
    <w:p>
      <w:pPr>
        <w:pStyle w:val="BodyText"/>
        <w:spacing w:line="328" w:lineRule="auto"/>
        <w:ind w:left="886" w:right="471" w:firstLine="480"/>
      </w:pPr>
      <w:r>
        <w:rPr/>
        <w:t>专家分析认为，人体基因、人体胚胎等研究，涉及个人、民族甚至整个人类， 将其写到民法典中是十分重要和必要的。</w:t>
      </w:r>
    </w:p>
    <w:p>
      <w:pPr>
        <w:pStyle w:val="BodyText"/>
        <w:spacing w:line="328" w:lineRule="auto"/>
        <w:ind w:left="886" w:right="471" w:firstLine="480"/>
        <w:jc w:val="both"/>
      </w:pPr>
      <w:r>
        <w:rPr/>
        <w:drawing>
          <wp:anchor distT="0" distB="0" distL="0" distR="0" allowOverlap="1" layoutInCell="1" locked="0" behindDoc="1" simplePos="0" relativeHeight="250451968">
            <wp:simplePos x="0" y="0"/>
            <wp:positionH relativeFrom="page">
              <wp:posOffset>1671827</wp:posOffset>
            </wp:positionH>
            <wp:positionV relativeFrom="paragraph">
              <wp:posOffset>996073</wp:posOffset>
            </wp:positionV>
            <wp:extent cx="4423189" cy="1383791"/>
            <wp:effectExtent l="0" t="0" r="0" b="0"/>
            <wp:wrapNone/>
            <wp:docPr id="49" name="image22.jpeg"/>
            <wp:cNvGraphicFramePr>
              <a:graphicFrameLocks noChangeAspect="1"/>
            </wp:cNvGraphicFramePr>
            <a:graphic>
              <a:graphicData uri="http://schemas.openxmlformats.org/drawingml/2006/picture">
                <pic:pic>
                  <pic:nvPicPr>
                    <pic:cNvPr id="50" name="image22.jpeg"/>
                    <pic:cNvPicPr/>
                  </pic:nvPicPr>
                  <pic:blipFill>
                    <a:blip r:embed="rId30" cstate="print"/>
                    <a:stretch>
                      <a:fillRect/>
                    </a:stretch>
                  </pic:blipFill>
                  <pic:spPr>
                    <a:xfrm>
                      <a:off x="0" y="0"/>
                      <a:ext cx="4423189" cy="1383791"/>
                    </a:xfrm>
                    <a:prstGeom prst="rect">
                      <a:avLst/>
                    </a:prstGeom>
                  </pic:spPr>
                </pic:pic>
              </a:graphicData>
            </a:graphic>
          </wp:anchor>
        </w:drawing>
      </w:r>
      <w:r>
        <w:rPr/>
        <w:t>人格权编还扩大了个人信息保护的范围。其中，明确将自然人的“电子邮箱地址”和“行踪信息”纳入个人信息的范围。规定个人信息包括自然人的姓名、出生日期、身份证件号码、生物识别信息、住址、电话号码、电子邮箱地址、行踪信息等，进一步加强对个人信息的保护。</w:t>
      </w:r>
    </w:p>
    <w:p>
      <w:pPr>
        <w:pStyle w:val="BodyText"/>
      </w:pPr>
    </w:p>
    <w:p>
      <w:pPr>
        <w:pStyle w:val="BodyText"/>
      </w:pPr>
    </w:p>
    <w:p>
      <w:pPr>
        <w:pStyle w:val="BodyText"/>
      </w:pPr>
    </w:p>
    <w:p>
      <w:pPr>
        <w:pStyle w:val="BodyText"/>
      </w:pPr>
    </w:p>
    <w:p>
      <w:pPr>
        <w:pStyle w:val="BodyText"/>
      </w:pPr>
    </w:p>
    <w:p>
      <w:pPr>
        <w:pStyle w:val="BodyText"/>
      </w:pPr>
    </w:p>
    <w:p>
      <w:pPr>
        <w:pStyle w:val="BodyText"/>
        <w:spacing w:before="12"/>
        <w:rPr>
          <w:sz w:val="16"/>
        </w:rPr>
      </w:pPr>
    </w:p>
    <w:p>
      <w:pPr>
        <w:pStyle w:val="BodyText"/>
        <w:spacing w:line="242" w:lineRule="auto"/>
        <w:ind w:left="886" w:right="471" w:firstLine="480"/>
        <w:rPr>
          <w:rFonts w:ascii="楷体" w:eastAsia="楷体" w:hint="eastAsia"/>
        </w:rPr>
      </w:pPr>
      <w:r>
        <w:rPr>
          <w:rFonts w:ascii="楷体" w:eastAsia="楷体" w:hint="eastAsia"/>
        </w:rPr>
        <w:t>民法典（草案）的人格权编中，对性骚扰防护主体做了扩大，被认为是一大亮点。图/视觉中国</w:t>
      </w:r>
    </w:p>
    <w:p>
      <w:pPr>
        <w:pStyle w:val="Heading3"/>
        <w:spacing w:before="108"/>
        <w:ind w:left="1366"/>
      </w:pPr>
      <w:r>
        <w:rPr/>
        <w:t>婚姻家庭编：设置离婚冷静期，放宽收养条件</w:t>
      </w:r>
    </w:p>
    <w:p>
      <w:pPr>
        <w:pStyle w:val="BodyText"/>
        <w:spacing w:line="328" w:lineRule="auto" w:before="113"/>
        <w:ind w:left="886" w:right="651" w:firstLine="480"/>
      </w:pPr>
      <w:r>
        <w:rPr>
          <w:spacing w:val="-3"/>
        </w:rPr>
        <w:t>数据显示，近几年来，我国离婚人数每年都突破 </w:t>
      </w:r>
      <w:r>
        <w:rPr/>
        <w:t>400</w:t>
      </w:r>
      <w:r>
        <w:rPr>
          <w:spacing w:val="-10"/>
        </w:rPr>
        <w:t> 万对。例如</w:t>
      </w:r>
      <w:r>
        <w:rPr/>
        <w:t>，2017</w:t>
      </w:r>
      <w:r>
        <w:rPr>
          <w:spacing w:val="-26"/>
        </w:rPr>
        <w:t> 年至</w:t>
      </w:r>
      <w:r>
        <w:rPr/>
        <w:t>2019</w:t>
      </w:r>
      <w:r>
        <w:rPr>
          <w:spacing w:val="-11"/>
        </w:rPr>
        <w:t> 年，全国婚姻登记机关分别办理离婚登记人数为 </w:t>
      </w:r>
      <w:r>
        <w:rPr/>
        <w:t>437.4</w:t>
      </w:r>
      <w:r>
        <w:rPr>
          <w:spacing w:val="-15"/>
        </w:rPr>
        <w:t> 万对、</w:t>
      </w:r>
      <w:r>
        <w:rPr/>
        <w:t>446.1</w:t>
      </w:r>
      <w:r>
        <w:rPr>
          <w:spacing w:val="-16"/>
        </w:rPr>
        <w:t> 万对、</w:t>
      </w:r>
    </w:p>
    <w:p>
      <w:pPr>
        <w:pStyle w:val="BodyText"/>
        <w:spacing w:line="305" w:lineRule="exact"/>
        <w:ind w:left="886"/>
      </w:pPr>
      <w:r>
        <w:rPr/>
        <w:t>415.4 万对。</w:t>
      </w:r>
    </w:p>
    <w:p>
      <w:pPr>
        <w:pStyle w:val="BodyText"/>
        <w:spacing w:line="328" w:lineRule="auto" w:before="112"/>
        <w:ind w:left="886" w:right="471" w:firstLine="480"/>
      </w:pPr>
      <w:r>
        <w:rPr/>
        <w:t>为了避免冲动离婚，民法典（草案）在婚姻家庭编中，对于登记离婚规定了离婚冷静期。规定：自婚姻登记机关收到离婚登记申请之日起三十日内，任何一方不</w:t>
      </w:r>
    </w:p>
    <w:p>
      <w:pPr>
        <w:spacing w:after="0" w:line="328" w:lineRule="auto"/>
        <w:sectPr>
          <w:pgSz w:w="11900" w:h="16840"/>
          <w:pgMar w:header="0" w:footer="735" w:top="1480" w:bottom="920" w:left="700" w:right="1200"/>
        </w:sectPr>
      </w:pPr>
    </w:p>
    <w:p>
      <w:pPr>
        <w:pStyle w:val="BodyText"/>
        <w:spacing w:line="328" w:lineRule="auto" w:before="53"/>
        <w:ind w:left="886" w:right="471"/>
        <w:jc w:val="both"/>
      </w:pPr>
      <w:r>
        <w:rPr/>
        <w:t>愿意离婚的，可以向婚姻登记机关撤回离婚登记申请。前款规定期间届满后三十日内，双方应当亲自到婚姻登记机关申请发给离婚证；未申请的，视为撤回离婚登记申请。</w:t>
      </w:r>
    </w:p>
    <w:p>
      <w:pPr>
        <w:pStyle w:val="BodyText"/>
        <w:spacing w:line="328" w:lineRule="auto"/>
        <w:ind w:left="886" w:right="471" w:firstLine="480"/>
      </w:pPr>
      <w:r>
        <w:rPr/>
        <w:t>孟强称，实践中，由于离婚登记手续过于简便，轻率离婚的现象增多，不利于家庭稳定。为此，草案规定了三十日的离婚冷静期。</w:t>
      </w:r>
    </w:p>
    <w:p>
      <w:pPr>
        <w:pStyle w:val="BodyText"/>
        <w:spacing w:line="328" w:lineRule="auto"/>
        <w:ind w:left="886" w:right="471" w:firstLine="480"/>
      </w:pPr>
      <w:r>
        <w:rPr>
          <w:spacing w:val="-1"/>
        </w:rPr>
        <w:t>中国人民大学法学院教授、中国民法学研究会副会长杨立新称，设置离婚冷静期是为自愿离婚的当事人在登记离婚中设置适当的时间“门槛”，促进当事人 冷</w:t>
      </w:r>
      <w:r>
        <w:rPr>
          <w:spacing w:val="-2"/>
        </w:rPr>
        <w:t>静思考、妥善抉择，既能保障当事人的离婚自由，又能保障双方当事人做出正确抉</w:t>
      </w:r>
      <w:r>
        <w:rPr/>
        <w:t>择、保护好未成年子女的利益。</w:t>
      </w:r>
    </w:p>
    <w:p>
      <w:pPr>
        <w:pStyle w:val="BodyText"/>
        <w:spacing w:line="328" w:lineRule="auto"/>
        <w:ind w:left="886" w:right="471" w:firstLine="480"/>
        <w:jc w:val="both"/>
      </w:pPr>
      <w:r>
        <w:rPr>
          <w:spacing w:val="-1"/>
        </w:rPr>
        <w:t>婚姻家庭篇，还对结婚登记前，一方患有重大疾病的情况进行了说明。规定： 一方患有重大疾病的，应当在结婚登记前如实告知另一方；不如实告知的，另一方</w:t>
      </w:r>
      <w:r>
        <w:rPr/>
        <w:t>可以向人民法院请求撤销婚姻。</w:t>
      </w:r>
    </w:p>
    <w:p>
      <w:pPr>
        <w:pStyle w:val="BodyText"/>
        <w:spacing w:line="328" w:lineRule="auto"/>
        <w:ind w:left="886" w:right="471" w:firstLine="480"/>
        <w:jc w:val="both"/>
      </w:pPr>
      <w:r>
        <w:rPr/>
        <w:t>中国人民大学法学院院长王轶表示，现实中对于“重大疾病”的具体名类难以明确规定，因此该条款具有相对开放性，授权法官在审判实践中积累经验和共识。他强调：“在判断是否构成足以撤销婚姻的重大疾病时，法官一定要征求相关领域人士的专业意见，作为个案处理判断的重要依据。”</w:t>
      </w:r>
    </w:p>
    <w:p>
      <w:pPr>
        <w:pStyle w:val="BodyText"/>
        <w:spacing w:line="328" w:lineRule="auto"/>
        <w:ind w:left="886" w:right="471" w:firstLine="480"/>
        <w:jc w:val="both"/>
      </w:pPr>
      <w:r>
        <w:rPr>
          <w:spacing w:val="-2"/>
        </w:rPr>
        <w:t>婚姻家庭编中，还对现行收养制度做出了放宽调整。例如，规定已有 </w:t>
      </w:r>
      <w:r>
        <w:rPr/>
        <w:t>1</w:t>
      </w:r>
      <w:r>
        <w:rPr>
          <w:spacing w:val="-19"/>
        </w:rPr>
        <w:t> 名子女</w:t>
      </w:r>
      <w:r>
        <w:rPr>
          <w:spacing w:val="-1"/>
        </w:rPr>
        <w:t>的收养人也可收养子女。现行《中华人民共和国收养法》规定，收养人符合的条件之一是“无子女”。所谓“无子女”是指收养人既没有亲生子女，也没有养子女和</w:t>
      </w:r>
      <w:r>
        <w:rPr/>
        <w:t>继子女。</w:t>
      </w:r>
    </w:p>
    <w:p>
      <w:pPr>
        <w:pStyle w:val="BodyText"/>
        <w:spacing w:line="302" w:lineRule="exact"/>
        <w:ind w:left="1366"/>
        <w:jc w:val="both"/>
      </w:pPr>
      <w:r>
        <w:rPr/>
        <w:t>孟强称，放宽收养条件，也是为配合调整后的计划生育政策。收养法于 1992</w:t>
      </w:r>
    </w:p>
    <w:p>
      <w:pPr>
        <w:pStyle w:val="BodyText"/>
        <w:spacing w:line="328" w:lineRule="auto" w:before="92"/>
        <w:ind w:left="886" w:right="531"/>
      </w:pPr>
      <w:r>
        <w:rPr/>
        <w:drawing>
          <wp:anchor distT="0" distB="0" distL="0" distR="0" allowOverlap="1" layoutInCell="1" locked="0" behindDoc="1" simplePos="0" relativeHeight="250452992">
            <wp:simplePos x="0" y="0"/>
            <wp:positionH relativeFrom="page">
              <wp:posOffset>1312163</wp:posOffset>
            </wp:positionH>
            <wp:positionV relativeFrom="paragraph">
              <wp:posOffset>787793</wp:posOffset>
            </wp:positionV>
            <wp:extent cx="4715256" cy="1488948"/>
            <wp:effectExtent l="0" t="0" r="0" b="0"/>
            <wp:wrapNone/>
            <wp:docPr id="51" name="image23.jpeg"/>
            <wp:cNvGraphicFramePr>
              <a:graphicFrameLocks noChangeAspect="1"/>
            </wp:cNvGraphicFramePr>
            <a:graphic>
              <a:graphicData uri="http://schemas.openxmlformats.org/drawingml/2006/picture">
                <pic:pic>
                  <pic:nvPicPr>
                    <pic:cNvPr id="52" name="image23.jpeg"/>
                    <pic:cNvPicPr/>
                  </pic:nvPicPr>
                  <pic:blipFill>
                    <a:blip r:embed="rId31" cstate="print"/>
                    <a:stretch>
                      <a:fillRect/>
                    </a:stretch>
                  </pic:blipFill>
                  <pic:spPr>
                    <a:xfrm>
                      <a:off x="0" y="0"/>
                      <a:ext cx="4715256" cy="1488948"/>
                    </a:xfrm>
                    <a:prstGeom prst="rect">
                      <a:avLst/>
                    </a:prstGeom>
                  </pic:spPr>
                </pic:pic>
              </a:graphicData>
            </a:graphic>
          </wp:anchor>
        </w:drawing>
      </w:r>
      <w:r>
        <w:rPr>
          <w:spacing w:val="-30"/>
        </w:rPr>
        <w:t>年 </w:t>
      </w:r>
      <w:r>
        <w:rPr/>
        <w:t>4</w:t>
      </w:r>
      <w:r>
        <w:rPr>
          <w:spacing w:val="-40"/>
        </w:rPr>
        <w:t> 月 </w:t>
      </w:r>
      <w:r>
        <w:rPr/>
        <w:t>1</w:t>
      </w:r>
      <w:r>
        <w:rPr>
          <w:spacing w:val="-15"/>
        </w:rPr>
        <w:t> 日施行</w:t>
      </w:r>
      <w:r>
        <w:rPr/>
        <w:t>，1998</w:t>
      </w:r>
      <w:r>
        <w:rPr>
          <w:spacing w:val="-12"/>
        </w:rPr>
        <w:t> 年曾修订一次，迄今已近 </w:t>
      </w:r>
      <w:r>
        <w:rPr/>
        <w:t>20</w:t>
      </w:r>
      <w:r>
        <w:rPr>
          <w:spacing w:val="-9"/>
        </w:rPr>
        <w:t> 年。当时制定的思路与计划生</w:t>
      </w:r>
      <w:r>
        <w:rPr/>
        <w:t>育政策是相匹配的，但是现在全面二孩政策，该法已经无法匹配当下的新生育政策。</w:t>
      </w:r>
    </w:p>
    <w:p>
      <w:pPr>
        <w:pStyle w:val="BodyText"/>
      </w:pPr>
    </w:p>
    <w:p>
      <w:pPr>
        <w:pStyle w:val="BodyText"/>
      </w:pPr>
    </w:p>
    <w:p>
      <w:pPr>
        <w:pStyle w:val="BodyText"/>
      </w:pPr>
    </w:p>
    <w:p>
      <w:pPr>
        <w:pStyle w:val="BodyText"/>
      </w:pPr>
    </w:p>
    <w:p>
      <w:pPr>
        <w:pStyle w:val="BodyText"/>
      </w:pPr>
    </w:p>
    <w:p>
      <w:pPr>
        <w:pStyle w:val="BodyText"/>
      </w:pPr>
    </w:p>
    <w:p>
      <w:pPr>
        <w:pStyle w:val="BodyText"/>
        <w:spacing w:before="2"/>
        <w:rPr>
          <w:sz w:val="32"/>
        </w:rPr>
      </w:pPr>
    </w:p>
    <w:p>
      <w:pPr>
        <w:pStyle w:val="BodyText"/>
        <w:ind w:left="472"/>
        <w:jc w:val="center"/>
        <w:rPr>
          <w:rFonts w:ascii="楷体" w:hAnsi="楷体" w:eastAsia="楷体" w:hint="eastAsia"/>
        </w:rPr>
      </w:pPr>
      <w:r>
        <w:rPr>
          <w:rFonts w:ascii="楷体" w:hAnsi="楷体" w:eastAsia="楷体" w:hint="eastAsia"/>
        </w:rPr>
        <w:t>2013 年 2 月 3 日，“疯狂英语”创始人李阳离婚案在北京市朝阳区法院宣</w:t>
      </w:r>
    </w:p>
    <w:p>
      <w:pPr>
        <w:pStyle w:val="BodyText"/>
        <w:spacing w:before="2"/>
        <w:ind w:left="412"/>
        <w:jc w:val="center"/>
        <w:rPr>
          <w:rFonts w:ascii="楷体" w:eastAsia="楷体" w:hint="eastAsia"/>
        </w:rPr>
      </w:pPr>
      <w:r>
        <w:rPr>
          <w:rFonts w:ascii="楷体" w:eastAsia="楷体" w:hint="eastAsia"/>
        </w:rPr>
        <w:t>判。法院认定李阳家庭暴力行为成立，判决准予李阳和妻子李金（左二）离婚。图</w:t>
      </w:r>
    </w:p>
    <w:p>
      <w:pPr>
        <w:pStyle w:val="BodyText"/>
        <w:spacing w:before="5"/>
        <w:ind w:left="866" w:right="8011"/>
        <w:jc w:val="center"/>
        <w:rPr>
          <w:rFonts w:ascii="楷体" w:eastAsia="楷体" w:hint="eastAsia"/>
        </w:rPr>
      </w:pPr>
      <w:r>
        <w:rPr>
          <w:rFonts w:ascii="楷体" w:eastAsia="楷体" w:hint="eastAsia"/>
        </w:rPr>
        <w:t>/视觉中国</w:t>
      </w:r>
    </w:p>
    <w:p>
      <w:pPr>
        <w:pStyle w:val="Heading3"/>
        <w:spacing w:before="112"/>
        <w:ind w:left="1366"/>
      </w:pPr>
      <w:r>
        <w:rPr/>
        <w:t>侵权责任编：明确物业对高空抛物负责</w:t>
      </w:r>
    </w:p>
    <w:p>
      <w:pPr>
        <w:spacing w:after="0"/>
        <w:sectPr>
          <w:pgSz w:w="11900" w:h="16840"/>
          <w:pgMar w:header="0" w:footer="735" w:top="1480" w:bottom="920" w:left="700" w:right="1200"/>
        </w:sectPr>
      </w:pPr>
    </w:p>
    <w:p>
      <w:pPr>
        <w:pStyle w:val="BodyText"/>
        <w:spacing w:line="328" w:lineRule="auto" w:before="53"/>
        <w:ind w:left="886" w:right="471" w:firstLine="480"/>
      </w:pPr>
      <w:r>
        <w:rPr/>
        <w:t>民法典（草案）在侵权责任编中，对高空抛物、医疗损害责任、生态破坏、交通事故等与人民利益息息相关的热点问题做出了规定。</w:t>
      </w:r>
    </w:p>
    <w:p>
      <w:pPr>
        <w:pStyle w:val="BodyText"/>
        <w:spacing w:line="328" w:lineRule="auto"/>
        <w:ind w:left="886" w:right="471" w:firstLine="480"/>
        <w:jc w:val="both"/>
      </w:pPr>
      <w:r>
        <w:rPr/>
        <w:t>近年来，一些高空抛物坠物的恶性案件，引起了社会的广泛关注。侵权责任编中规定：禁止从建筑物中抛掷物品。从建筑物中抛掷物品或者从建筑物上坠落的物品造成他人损害的，由侵权人依法承担侵权责任；经调查难以确定具体侵权人的， 除能够证明自己不是侵权人的外，由可能加害的建筑物使用人给予补偿。可能加害的建筑物使用人补偿后，有权向侵权人追偿。物业服务企业等建筑物管理人应当采取必要的安全保障措施防止前款规定情形的发生；未采取必要的安全保障措施的， 应当依法承担未履行安全保障义务的侵权责任。</w:t>
      </w:r>
    </w:p>
    <w:p>
      <w:pPr>
        <w:pStyle w:val="BodyText"/>
        <w:spacing w:line="328" w:lineRule="auto"/>
        <w:ind w:left="886" w:right="471" w:firstLine="480"/>
      </w:pPr>
      <w:r>
        <w:rPr>
          <w:spacing w:val="-1"/>
        </w:rPr>
        <w:t>孟强告诉《中国新闻周刊》，之前对于高空抛物现象，法院的判决缺少明确法律依据，加上取证难、责任主体也不好认定，所以出现了同案不同判的现象。侵权责任法专门对此做出了规定。但侵权责任法的解决方案是由可能加害的建筑物使用</w:t>
      </w:r>
      <w:r>
        <w:rPr/>
        <w:t>人进行补偿，实践中施行的效果并不太好，也无法起到对高空抛物现象的有效遏 制。</w:t>
      </w:r>
    </w:p>
    <w:p>
      <w:pPr>
        <w:pStyle w:val="BodyText"/>
        <w:spacing w:line="328" w:lineRule="auto"/>
        <w:ind w:left="886" w:right="471" w:firstLine="480"/>
      </w:pPr>
      <w:r>
        <w:rPr/>
        <w:drawing>
          <wp:anchor distT="0" distB="0" distL="0" distR="0" allowOverlap="1" layoutInCell="1" locked="0" behindDoc="1" simplePos="0" relativeHeight="250454016">
            <wp:simplePos x="0" y="0"/>
            <wp:positionH relativeFrom="page">
              <wp:posOffset>1824227</wp:posOffset>
            </wp:positionH>
            <wp:positionV relativeFrom="paragraph">
              <wp:posOffset>1529473</wp:posOffset>
            </wp:positionV>
            <wp:extent cx="4180332" cy="1716024"/>
            <wp:effectExtent l="0" t="0" r="0" b="0"/>
            <wp:wrapNone/>
            <wp:docPr id="53" name="image24.jpeg"/>
            <wp:cNvGraphicFramePr>
              <a:graphicFrameLocks noChangeAspect="1"/>
            </wp:cNvGraphicFramePr>
            <a:graphic>
              <a:graphicData uri="http://schemas.openxmlformats.org/drawingml/2006/picture">
                <pic:pic>
                  <pic:nvPicPr>
                    <pic:cNvPr id="54" name="image24.jpeg"/>
                    <pic:cNvPicPr/>
                  </pic:nvPicPr>
                  <pic:blipFill>
                    <a:blip r:embed="rId32" cstate="print"/>
                    <a:stretch>
                      <a:fillRect/>
                    </a:stretch>
                  </pic:blipFill>
                  <pic:spPr>
                    <a:xfrm>
                      <a:off x="0" y="0"/>
                      <a:ext cx="4180332" cy="1716024"/>
                    </a:xfrm>
                    <a:prstGeom prst="rect">
                      <a:avLst/>
                    </a:prstGeom>
                  </pic:spPr>
                </pic:pic>
              </a:graphicData>
            </a:graphic>
          </wp:anchor>
        </w:drawing>
      </w:r>
      <w:r>
        <w:rPr/>
        <w:t>他称，侵权责任编中，最重要的是进一步明确了建筑物管理人（</w:t>
      </w:r>
      <w:r>
        <w:rPr>
          <w:spacing w:val="-3"/>
        </w:rPr>
        <w:t>主要是指物业</w:t>
      </w:r>
      <w:r>
        <w:rPr/>
        <w:t>服务企业）</w:t>
      </w:r>
      <w:r>
        <w:rPr>
          <w:spacing w:val="-1"/>
        </w:rPr>
        <w:t>的责任，增加规定了他们的安全保障义务。这就要求物业公司必须采取</w:t>
      </w:r>
      <w:r>
        <w:rPr/>
        <w:t>更为积极的措施去预防高空抛物坠物的发生，能够有效督促物业服务企业负起责 </w:t>
      </w:r>
      <w:r>
        <w:rPr>
          <w:spacing w:val="-1"/>
        </w:rPr>
        <w:t>任，及时检查、维修、加固高楼外部设施，加强对业主的宣传教育，在必要的地方安装能够拍摄高空抛物坠物的摄像头等设备，为有关部门及时调查高空抛物坠物事</w:t>
      </w:r>
      <w:r>
        <w:rPr/>
        <w:t>件提供证据等。</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rPr>
          <w:sz w:val="19"/>
        </w:rPr>
      </w:pPr>
    </w:p>
    <w:p>
      <w:pPr>
        <w:pStyle w:val="BodyText"/>
        <w:ind w:left="232"/>
        <w:jc w:val="center"/>
        <w:rPr>
          <w:rFonts w:ascii="楷体" w:eastAsia="楷体" w:hint="eastAsia"/>
        </w:rPr>
      </w:pPr>
      <w:r>
        <w:rPr>
          <w:rFonts w:ascii="楷体" w:eastAsia="楷体" w:hint="eastAsia"/>
        </w:rPr>
        <w:t>2019 年 11 月，浙江宁波一小区安装了 64 个摄像头专门监控高空抛物。</w:t>
      </w:r>
    </w:p>
    <w:p>
      <w:pPr>
        <w:pStyle w:val="BodyText"/>
        <w:spacing w:line="328" w:lineRule="auto" w:before="112"/>
        <w:ind w:left="886" w:right="471" w:firstLine="480"/>
      </w:pPr>
      <w:r>
        <w:rPr/>
        <w:t>侵权责任编中提及的自甘风险情形也受到关注。自甘风险是指已经知道有风 </w:t>
      </w:r>
      <w:r>
        <w:rPr>
          <w:spacing w:val="-1"/>
        </w:rPr>
        <w:t>险，而自己自愿去冒风险。那么，当风险出现的时候，就应当自己来承担责任、承</w:t>
      </w:r>
      <w:r>
        <w:rPr/>
        <w:t>担损害的后果的原则。</w:t>
      </w:r>
    </w:p>
    <w:p>
      <w:pPr>
        <w:spacing w:after="0" w:line="328" w:lineRule="auto"/>
        <w:sectPr>
          <w:pgSz w:w="11900" w:h="16840"/>
          <w:pgMar w:header="0" w:footer="735" w:top="1480" w:bottom="920" w:left="700" w:right="1200"/>
        </w:sectPr>
      </w:pPr>
    </w:p>
    <w:p>
      <w:pPr>
        <w:pStyle w:val="BodyText"/>
        <w:spacing w:line="328" w:lineRule="auto" w:before="53"/>
        <w:ind w:left="886" w:right="471" w:firstLine="480"/>
      </w:pPr>
      <w:r>
        <w:rPr/>
        <w:t>侵权责任编规定：自愿参加具有一定风险的文体活动,因其他参加者的行为受到损害的，受害人不得请求其他参加者承担侵权责任，但是其他参加者对损害的发生有故意或者重大过失的除外。</w:t>
      </w:r>
    </w:p>
    <w:p>
      <w:pPr>
        <w:pStyle w:val="BodyText"/>
        <w:spacing w:line="328" w:lineRule="auto"/>
        <w:ind w:left="886" w:right="471" w:firstLine="480"/>
        <w:jc w:val="both"/>
      </w:pPr>
      <w:r>
        <w:rPr/>
        <w:t>孟强称，自甘风险最常见的适用领域就是体育比赛活动，尤其是有一定危险性的体育活动，比如足球、篮球、橄榄球、冰球、拳击等。很多案例都与学校有关， 因为学校里面年轻人多，体育活动多，一旦因体育活动发生人身伤害事件，受害者就会把参加体育活动的人和学校都告上法庭。</w:t>
      </w:r>
    </w:p>
    <w:p>
      <w:pPr>
        <w:pStyle w:val="BodyText"/>
        <w:spacing w:line="328" w:lineRule="auto"/>
        <w:ind w:left="886" w:right="471" w:firstLine="480"/>
        <w:jc w:val="both"/>
      </w:pPr>
      <w:r>
        <w:rPr/>
        <w:t>他表示，在这类问题产生纠纷的案件中，法院也会看伤害是如何造成的，活动是不是正常，学校有没有责任，活动组织者有没有尽到安全保障的义务等，然后才能确定责任的划分。这次在民法典（草案）中明确自甘风险的规则和范围，明确了责任的划分，有利于鼓励人们参加文体活动，也有助于文体活动的组织者正常开展相关活动。</w:t>
      </w:r>
    </w:p>
    <w:p>
      <w:pPr>
        <w:pStyle w:val="BodyText"/>
        <w:spacing w:line="328" w:lineRule="auto"/>
        <w:ind w:left="886" w:right="471" w:firstLine="480"/>
        <w:jc w:val="both"/>
      </w:pPr>
      <w:r>
        <w:rPr/>
        <w:t>全国人大常委会副委员长陈竺表示，确立自甘风险原则，有利于明确正常开展此类活动的责任界限，让活动的开展更加有章可循，也能有效引导人们谨慎参与危险活动，从而分散和预防社会风险。</w:t>
      </w:r>
    </w:p>
    <w:p>
      <w:pPr>
        <w:pStyle w:val="BodyText"/>
        <w:spacing w:line="304" w:lineRule="exact"/>
        <w:ind w:left="1366"/>
      </w:pPr>
      <w:r>
        <w:rPr/>
        <w:t>新增的自助行为制度，也是侵权责任编的一大亮点。</w:t>
      </w:r>
    </w:p>
    <w:p>
      <w:pPr>
        <w:pStyle w:val="BodyText"/>
        <w:spacing w:line="328" w:lineRule="auto" w:before="97"/>
        <w:ind w:left="886" w:right="471" w:firstLine="480"/>
        <w:jc w:val="both"/>
      </w:pPr>
      <w:r>
        <w:rPr/>
        <w:t>自助行为制度，是民事权利私力救济的方式之一，赋予自然人一定的自我保护权利。侵权责任编规定，合法权益受到侵害，情况紧迫且不能及时获得国家机关保护，不立即采取措施将使其合法权益受到难以弥补的损害的，受害人可以在必要范围内采取扣留侵权人的财物等合理措施；但是，应当立即请求有关国家机关处理。受害人采取的措施不当造成他人损害的，应当承担侵权责任。</w:t>
      </w:r>
    </w:p>
    <w:p>
      <w:pPr>
        <w:pStyle w:val="BodyText"/>
        <w:spacing w:line="328" w:lineRule="auto"/>
        <w:ind w:left="886" w:right="471" w:firstLine="480"/>
      </w:pPr>
      <w:r>
        <w:rPr/>
        <w:t>全国人大常委会副委员长曹建明认为,自助行为制度是对国家机关保护即公立救济的有益补充，有利于更好地保护受害人的合法权益，具有合理性，是我国民事</w:t>
      </w:r>
    </w:p>
    <w:p>
      <w:pPr>
        <w:pStyle w:val="BodyText"/>
        <w:spacing w:line="305" w:lineRule="exact"/>
        <w:ind w:left="886"/>
      </w:pPr>
      <w:r>
        <w:rPr/>
        <w:t>立法的新发展。</w:t>
      </w:r>
    </w:p>
    <w:p>
      <w:pPr>
        <w:pStyle w:val="BodyText"/>
        <w:tabs>
          <w:tab w:pos="8859" w:val="left" w:leader="none"/>
        </w:tabs>
        <w:spacing w:line="304" w:lineRule="exact"/>
        <w:ind w:left="6459"/>
        <w:rPr>
          <w:rFonts w:ascii="楷体" w:eastAsia="楷体" w:hint="eastAsia"/>
        </w:rPr>
      </w:pPr>
      <w:r>
        <w:rPr>
          <w:rFonts w:ascii="楷体" w:eastAsia="楷体" w:hint="eastAsia"/>
        </w:rPr>
        <w:t>来源：中国新闻周刊</w:t>
        <w:tab/>
        <w:t>周群峰</w:t>
      </w:r>
    </w:p>
    <w:p>
      <w:pPr>
        <w:spacing w:after="0" w:line="304" w:lineRule="exact"/>
        <w:rPr>
          <w:rFonts w:ascii="楷体" w:eastAsia="楷体" w:hint="eastAsia"/>
        </w:rPr>
        <w:sectPr>
          <w:pgSz w:w="11900" w:h="16840"/>
          <w:pgMar w:header="0" w:footer="735" w:top="1480" w:bottom="920" w:left="700" w:right="1200"/>
        </w:sectPr>
      </w:pPr>
    </w:p>
    <w:p>
      <w:pPr>
        <w:spacing w:before="24"/>
        <w:ind w:left="465" w:right="0" w:firstLine="0"/>
        <w:jc w:val="center"/>
        <w:rPr>
          <w:rFonts w:ascii="黑体" w:eastAsia="黑体" w:hint="eastAsia"/>
          <w:b/>
          <w:sz w:val="32"/>
        </w:rPr>
      </w:pPr>
      <w:bookmarkStart w:name="8个字读懂政府工作报告" w:id="9"/>
      <w:bookmarkEnd w:id="9"/>
      <w:r>
        <w:rPr/>
      </w:r>
      <w:r>
        <w:rPr>
          <w:rFonts w:ascii="黑体" w:eastAsia="黑体" w:hint="eastAsia"/>
          <w:b/>
          <w:sz w:val="32"/>
        </w:rPr>
        <w:t>8 个字读懂政府工作报告</w:t>
      </w:r>
    </w:p>
    <w:p>
      <w:pPr>
        <w:pStyle w:val="BodyText"/>
        <w:spacing w:before="7"/>
        <w:rPr>
          <w:rFonts w:ascii="黑体"/>
          <w:b/>
          <w:sz w:val="9"/>
        </w:rPr>
      </w:pPr>
      <w:r>
        <w:rPr/>
        <w:pict>
          <v:line style="position:absolute;mso-position-horizontal-relative:page;mso-position-vertical-relative:paragraph;z-index:-251636736;mso-wrap-distance-left:0;mso-wrap-distance-right:0" from="79.349998pt,8.51pt" to="513.949998pt,8.51pt" stroked="true" strokeweight=".72pt" strokecolor="#e7e7eb">
            <v:stroke dashstyle="solid"/>
            <w10:wrap type="topAndBottom"/>
          </v:line>
        </w:pict>
      </w:r>
    </w:p>
    <w:p>
      <w:pPr>
        <w:pStyle w:val="BodyText"/>
        <w:spacing w:before="7"/>
        <w:rPr>
          <w:rFonts w:ascii="黑体"/>
          <w:b/>
          <w:sz w:val="3"/>
        </w:rPr>
      </w:pPr>
    </w:p>
    <w:p>
      <w:pPr>
        <w:pStyle w:val="BodyText"/>
        <w:ind w:left="886"/>
        <w:rPr>
          <w:rFonts w:ascii="黑体"/>
          <w:sz w:val="20"/>
        </w:rPr>
      </w:pPr>
      <w:r>
        <w:rPr>
          <w:rFonts w:ascii="黑体"/>
          <w:sz w:val="20"/>
        </w:rPr>
        <w:pict>
          <v:group style="width:411.5pt;height:623.9pt;mso-position-horizontal-relative:char;mso-position-vertical-relative:line" coordorigin="0,0" coordsize="8230,12478">
            <v:shape style="position:absolute;left:0;top:31;width:4028;height:5813" type="#_x0000_t75" stroked="false">
              <v:imagedata r:id="rId34" o:title=""/>
            </v:shape>
            <v:shape style="position:absolute;left:4051;top:0;width:4179;height:5832" type="#_x0000_t75" stroked="false">
              <v:imagedata r:id="rId35" o:title=""/>
            </v:shape>
            <v:shape style="position:absolute;left:0;top:5851;width:4037;height:6627" type="#_x0000_t75" stroked="false">
              <v:imagedata r:id="rId36" o:title=""/>
            </v:shape>
            <v:shape style="position:absolute;left:4051;top:5880;width:4174;height:6598" type="#_x0000_t75" stroked="false">
              <v:imagedata r:id="rId37" o:title=""/>
            </v:shape>
          </v:group>
        </w:pict>
      </w:r>
      <w:r>
        <w:rPr>
          <w:rFonts w:ascii="黑体"/>
          <w:sz w:val="20"/>
        </w:rPr>
      </w:r>
    </w:p>
    <w:p>
      <w:pPr>
        <w:spacing w:after="0"/>
        <w:rPr>
          <w:rFonts w:ascii="黑体"/>
          <w:sz w:val="20"/>
        </w:rPr>
        <w:sectPr>
          <w:footerReference w:type="default" r:id="rId33"/>
          <w:pgSz w:w="11900" w:h="16840"/>
          <w:pgMar w:footer="735" w:header="0" w:top="1400" w:bottom="920" w:left="700" w:right="1200"/>
          <w:pgNumType w:start="30"/>
        </w:sectPr>
      </w:pPr>
    </w:p>
    <w:p>
      <w:pPr>
        <w:pStyle w:val="BodyText"/>
        <w:ind w:left="886"/>
        <w:rPr>
          <w:rFonts w:ascii="黑体"/>
          <w:sz w:val="20"/>
        </w:rPr>
      </w:pPr>
      <w:r>
        <w:rPr>
          <w:rFonts w:ascii="黑体"/>
          <w:sz w:val="20"/>
        </w:rPr>
        <w:pict>
          <v:group style="width:401.9pt;height:564.75pt;mso-position-horizontal-relative:char;mso-position-vertical-relative:line" coordorigin="0,0" coordsize="8038,11295">
            <v:shape style="position:absolute;left:0;top:0;width:3927;height:5684" type="#_x0000_t75" stroked="false">
              <v:imagedata r:id="rId38" o:title=""/>
            </v:shape>
            <v:shape style="position:absolute;left:3931;top:31;width:4080;height:5652" type="#_x0000_t75" stroked="false">
              <v:imagedata r:id="rId39" o:title=""/>
            </v:shape>
            <v:shape style="position:absolute;left:0;top:5700;width:3910;height:5595" type="#_x0000_t75" stroked="false">
              <v:imagedata r:id="rId40" o:title=""/>
            </v:shape>
            <v:shape style="position:absolute;left:3931;top:5731;width:4107;height:5554" type="#_x0000_t75" stroked="false">
              <v:imagedata r:id="rId41" o:title=""/>
            </v:shape>
          </v:group>
        </w:pict>
      </w:r>
      <w:r>
        <w:rPr>
          <w:rFonts w:ascii="黑体"/>
          <w:sz w:val="20"/>
        </w:rPr>
      </w:r>
    </w:p>
    <w:p>
      <w:pPr>
        <w:pStyle w:val="BodyText"/>
        <w:rPr>
          <w:rFonts w:ascii="黑体"/>
          <w:b/>
          <w:sz w:val="15"/>
        </w:rPr>
      </w:pPr>
    </w:p>
    <w:p>
      <w:pPr>
        <w:pStyle w:val="BodyText"/>
        <w:spacing w:before="67"/>
        <w:ind w:left="465"/>
        <w:jc w:val="center"/>
        <w:rPr>
          <w:rFonts w:ascii="楷体" w:eastAsia="楷体" w:hint="eastAsia"/>
        </w:rPr>
      </w:pPr>
      <w:bookmarkStart w:name="(此文转载自人民日报客户端)" w:id="10"/>
      <w:bookmarkEnd w:id="10"/>
      <w:r>
        <w:rPr/>
      </w:r>
      <w:r>
        <w:rPr>
          <w:rFonts w:ascii="楷体" w:eastAsia="楷体" w:hint="eastAsia"/>
          <w:color w:val="212121"/>
        </w:rPr>
        <w:t>(此文转载自人民日报客户端)</w:t>
      </w:r>
    </w:p>
    <w:p>
      <w:pPr>
        <w:pStyle w:val="BodyText"/>
        <w:spacing w:before="6"/>
        <w:rPr>
          <w:rFonts w:ascii="楷体"/>
          <w:sz w:val="9"/>
        </w:rPr>
      </w:pPr>
      <w:r>
        <w:rPr/>
        <w:pict>
          <v:line style="position:absolute;mso-position-horizontal-relative:page;mso-position-vertical-relative:paragraph;z-index:-251633664;mso-wrap-distance-left:0;mso-wrap-distance-right:0" from="79.349998pt,8.425625pt" to="513.949998pt,8.425625pt" stroked="true" strokeweight=".72pt" strokecolor="#e7e7eb">
            <v:stroke dashstyle="solid"/>
            <w10:wrap type="topAndBottom"/>
          </v:line>
        </w:pict>
      </w:r>
    </w:p>
    <w:p>
      <w:pPr>
        <w:spacing w:after="0"/>
        <w:rPr>
          <w:rFonts w:ascii="楷体"/>
          <w:sz w:val="9"/>
        </w:rPr>
        <w:sectPr>
          <w:pgSz w:w="11900" w:h="16840"/>
          <w:pgMar w:header="0" w:footer="735" w:top="1420" w:bottom="920" w:left="700" w:right="1200"/>
        </w:sectPr>
      </w:pPr>
    </w:p>
    <w:p>
      <w:pPr>
        <w:pStyle w:val="BodyText"/>
        <w:ind w:left="387"/>
        <w:rPr>
          <w:rFonts w:ascii="楷体"/>
          <w:sz w:val="20"/>
        </w:rPr>
      </w:pPr>
      <w:r>
        <w:rPr>
          <w:rFonts w:ascii="楷体"/>
          <w:sz w:val="20"/>
        </w:rPr>
        <w:pict>
          <v:group style="width:152.15pt;height:65.2pt;mso-position-horizontal-relative:char;mso-position-vertical-relative:line" coordorigin="0,0" coordsize="3043,1304">
            <v:shape style="position:absolute;left:0;top:0;width:3043;height:1304" type="#_x0000_t75" stroked="false">
              <v:imagedata r:id="rId10" o:title=""/>
            </v:shape>
            <v:shape style="position:absolute;left:0;top:0;width:3043;height:1304" type="#_x0000_t202" filled="false" stroked="false">
              <v:textbox inset="0,0,0,0">
                <w:txbxContent>
                  <w:p>
                    <w:pPr>
                      <w:spacing w:before="333"/>
                      <w:ind w:left="499" w:right="0" w:firstLine="0"/>
                      <w:jc w:val="left"/>
                      <w:rPr>
                        <w:b/>
                        <w:sz w:val="44"/>
                      </w:rPr>
                    </w:pPr>
                    <w:r>
                      <w:rPr>
                        <w:b/>
                        <w:sz w:val="44"/>
                      </w:rPr>
                      <w:t>导师推荐</w:t>
                    </w:r>
                  </w:p>
                </w:txbxContent>
              </v:textbox>
              <w10:wrap type="none"/>
            </v:shape>
          </v:group>
        </w:pict>
      </w:r>
      <w:r>
        <w:rPr>
          <w:rFonts w:ascii="楷体"/>
          <w:sz w:val="20"/>
        </w:rPr>
      </w:r>
    </w:p>
    <w:p>
      <w:pPr>
        <w:pStyle w:val="Heading1"/>
        <w:spacing w:before="113"/>
      </w:pPr>
      <w:bookmarkStart w:name="揭开学习的奥秘" w:id="11"/>
      <w:bookmarkEnd w:id="11"/>
      <w:r>
        <w:rPr>
          <w:b w:val="0"/>
        </w:rPr>
      </w:r>
      <w:r>
        <w:rPr/>
        <w:t>揭开学习的奥秘</w:t>
      </w:r>
    </w:p>
    <w:p>
      <w:pPr>
        <w:spacing w:line="364" w:lineRule="auto" w:before="239"/>
        <w:ind w:left="2383" w:right="1915" w:firstLine="0"/>
        <w:jc w:val="center"/>
        <w:rPr>
          <w:sz w:val="30"/>
        </w:rPr>
      </w:pPr>
      <w:r>
        <w:rPr>
          <w:sz w:val="30"/>
        </w:rPr>
        <w:t>——焦点学生学习历程观察与关键事件分析陈静静</w:t>
      </w:r>
    </w:p>
    <w:p>
      <w:pPr>
        <w:pStyle w:val="BodyText"/>
        <w:spacing w:line="328" w:lineRule="auto" w:before="106"/>
        <w:ind w:left="886" w:right="438" w:firstLine="513"/>
      </w:pPr>
      <w:r>
        <w:rPr/>
        <w:t>《国务院关于深化教育教学改革全面提高义务教育质量的意见》指出:要强化课堂主阵地的作用，切实提高课堂质量。并进一步指出要“精准分析学情，注重差异化教学和个别指导”，教师必须要深刻地把握学生的学情，要能够通过课堂观察有效地收集学生的学习相关的信息和证据，对学生身心状态、学习基础、学习过程、学习成果以及学习潜能进行分析与评估，从而了解学生的学习困境与需求，发现学生学习的规律，据此改进和变革课堂教学，提升教学效果。通过课堂观察去理解学生、分析学情、改进教学，这是每一位教师所必备的专业能力之一，但目前我国教师这方面的能力还亟待提升。因此必须要研发一种教师在日常教学中能够常态化应用的课堂观察方法，帮助教师在自己的日常教学中进行观察研究，在真实的教学情境中学习，从而使教师真正成为教学的研究者和“学习的专家”。</w:t>
      </w:r>
    </w:p>
    <w:p>
      <w:pPr>
        <w:pStyle w:val="Heading3"/>
        <w:spacing w:line="293" w:lineRule="exact"/>
        <w:ind w:left="1272"/>
        <w:rPr>
          <w:rFonts w:ascii="黑体" w:eastAsia="黑体" w:hint="eastAsia"/>
        </w:rPr>
      </w:pPr>
      <w:r>
        <w:rPr>
          <w:rFonts w:ascii="黑体" w:eastAsia="黑体" w:hint="eastAsia"/>
        </w:rPr>
        <w:t>一.历史溯源：课堂观察与分析的国际发展趋向</w:t>
      </w:r>
    </w:p>
    <w:p>
      <w:pPr>
        <w:spacing w:line="326" w:lineRule="auto" w:before="113"/>
        <w:ind w:left="886" w:right="440" w:firstLine="513"/>
        <w:jc w:val="left"/>
        <w:rPr>
          <w:sz w:val="24"/>
        </w:rPr>
      </w:pPr>
      <w:r>
        <w:rPr>
          <w:spacing w:val="6"/>
          <w:sz w:val="24"/>
        </w:rPr>
        <w:t>课堂观察与分析作为教学研究与促进教师专业发展的重要方式备受关注。</w:t>
      </w:r>
      <w:r>
        <w:rPr>
          <w:spacing w:val="1"/>
          <w:sz w:val="24"/>
        </w:rPr>
        <w:t>课堂观察与分析起源于 </w:t>
      </w:r>
      <w:r>
        <w:rPr>
          <w:sz w:val="24"/>
        </w:rPr>
        <w:t>20</w:t>
      </w:r>
      <w:r>
        <w:rPr>
          <w:spacing w:val="1"/>
          <w:sz w:val="24"/>
        </w:rPr>
        <w:t> 世纪初，经历了多个重要发展阶段。</w:t>
      </w:r>
      <w:r>
        <w:rPr>
          <w:sz w:val="24"/>
        </w:rPr>
        <w:t>20</w:t>
      </w:r>
      <w:r>
        <w:rPr>
          <w:spacing w:val="-21"/>
          <w:sz w:val="24"/>
        </w:rPr>
        <w:t> 世纪 </w:t>
      </w:r>
      <w:r>
        <w:rPr>
          <w:sz w:val="24"/>
        </w:rPr>
        <w:t>30</w:t>
      </w:r>
      <w:r>
        <w:rPr>
          <w:spacing w:val="-12"/>
          <w:sz w:val="24"/>
        </w:rPr>
        <w:t> 年代</w:t>
      </w:r>
      <w:r>
        <w:rPr>
          <w:spacing w:val="7"/>
          <w:sz w:val="24"/>
        </w:rPr>
        <w:t>以后进入快速发展期，这一阶段比较重视课堂观察与评估工具的开发。</w:t>
      </w:r>
      <w:r>
        <w:rPr>
          <w:spacing w:val="4"/>
          <w:sz w:val="24"/>
        </w:rPr>
        <w:t>1949</w:t>
      </w:r>
      <w:r>
        <w:rPr>
          <w:spacing w:val="-22"/>
          <w:sz w:val="24"/>
        </w:rPr>
        <w:t> 年</w:t>
      </w:r>
      <w:r>
        <w:rPr>
          <w:spacing w:val="7"/>
          <w:sz w:val="24"/>
        </w:rPr>
        <w:t>韦瑟尔(</w:t>
      </w:r>
      <w:r>
        <w:rPr>
          <w:rFonts w:ascii="Calibri" w:hAnsi="Calibri" w:eastAsia="Calibri"/>
          <w:i/>
          <w:spacing w:val="7"/>
          <w:sz w:val="24"/>
        </w:rPr>
        <w:t>Withall.J</w:t>
      </w:r>
      <w:r>
        <w:rPr>
          <w:spacing w:val="6"/>
          <w:sz w:val="24"/>
        </w:rPr>
        <w:t>)开发了“七类话语交互分析系统”(</w:t>
      </w:r>
      <w:r>
        <w:rPr>
          <w:rFonts w:ascii="Calibri" w:hAnsi="Calibri" w:eastAsia="Calibri"/>
          <w:i/>
          <w:spacing w:val="5"/>
          <w:sz w:val="24"/>
        </w:rPr>
        <w:t>Seven </w:t>
      </w:r>
      <w:r>
        <w:rPr>
          <w:rFonts w:ascii="Calibri" w:hAnsi="Calibri" w:eastAsia="Calibri"/>
          <w:i/>
          <w:spacing w:val="6"/>
          <w:sz w:val="24"/>
        </w:rPr>
        <w:t>CategoryInteraction </w:t>
      </w:r>
      <w:r>
        <w:rPr>
          <w:rFonts w:ascii="Calibri" w:hAnsi="Calibri" w:eastAsia="Calibri"/>
          <w:i/>
          <w:spacing w:val="6"/>
          <w:sz w:val="24"/>
        </w:rPr>
        <w:t>System</w:t>
      </w:r>
      <w:r>
        <w:rPr>
          <w:spacing w:val="6"/>
          <w:sz w:val="24"/>
        </w:rPr>
        <w:t>)，20</w:t>
      </w:r>
      <w:r>
        <w:rPr>
          <w:spacing w:val="-20"/>
          <w:sz w:val="24"/>
        </w:rPr>
        <w:t> 世纪 </w:t>
      </w:r>
      <w:r>
        <w:rPr>
          <w:sz w:val="24"/>
        </w:rPr>
        <w:t>60 年代弗兰德斯</w:t>
      </w:r>
      <w:r>
        <w:rPr>
          <w:spacing w:val="7"/>
          <w:sz w:val="24"/>
        </w:rPr>
        <w:t>（</w:t>
      </w:r>
      <w:r>
        <w:rPr>
          <w:rFonts w:ascii="Calibri" w:hAnsi="Calibri" w:eastAsia="Calibri"/>
          <w:i/>
          <w:spacing w:val="7"/>
          <w:sz w:val="24"/>
        </w:rPr>
        <w:t>Flanders,N.A</w:t>
      </w:r>
      <w:r>
        <w:rPr>
          <w:spacing w:val="7"/>
          <w:sz w:val="24"/>
        </w:rPr>
        <w:t>）</w:t>
      </w:r>
      <w:r>
        <w:rPr>
          <w:spacing w:val="6"/>
          <w:sz w:val="24"/>
        </w:rPr>
        <w:t>提出“师生言语互动分析系</w:t>
      </w:r>
      <w:r>
        <w:rPr>
          <w:spacing w:val="9"/>
          <w:sz w:val="24"/>
        </w:rPr>
        <w:t>统</w:t>
      </w:r>
      <w:r>
        <w:rPr>
          <w:spacing w:val="6"/>
          <w:sz w:val="24"/>
        </w:rPr>
        <w:t>”（</w:t>
      </w:r>
      <w:r>
        <w:rPr>
          <w:rFonts w:ascii="Calibri" w:hAnsi="Calibri" w:eastAsia="Calibri"/>
          <w:i/>
          <w:spacing w:val="6"/>
          <w:sz w:val="24"/>
        </w:rPr>
        <w:t>Flanders Interaction Analysis </w:t>
      </w:r>
      <w:r>
        <w:rPr>
          <w:rFonts w:ascii="Calibri" w:hAnsi="Calibri" w:eastAsia="Calibri"/>
          <w:i/>
          <w:spacing w:val="7"/>
          <w:sz w:val="24"/>
        </w:rPr>
        <w:t>System,FIAS</w:t>
      </w:r>
      <w:r>
        <w:rPr>
          <w:spacing w:val="7"/>
          <w:sz w:val="24"/>
        </w:rPr>
        <w:t>）</w:t>
      </w:r>
      <w:r>
        <w:rPr>
          <w:spacing w:val="6"/>
          <w:sz w:val="24"/>
        </w:rPr>
        <w:t>，并以师生言语互动作为课堂分析的标准。此后，世界各国开始进行课堂观察与评估工具的研发，</w:t>
      </w:r>
      <w:r>
        <w:rPr>
          <w:spacing w:val="5"/>
          <w:sz w:val="24"/>
        </w:rPr>
        <w:t>1980</w:t>
      </w:r>
      <w:r>
        <w:rPr>
          <w:spacing w:val="-13"/>
          <w:sz w:val="24"/>
        </w:rPr>
        <w:t> 年， </w:t>
      </w:r>
      <w:r>
        <w:rPr>
          <w:spacing w:val="7"/>
          <w:sz w:val="24"/>
        </w:rPr>
        <w:t>古德海默</w:t>
      </w:r>
      <w:r>
        <w:rPr>
          <w:spacing w:val="-43"/>
          <w:sz w:val="24"/>
        </w:rPr>
        <w:t>（</w:t>
      </w:r>
      <w:r>
        <w:rPr>
          <w:i/>
          <w:spacing w:val="-43"/>
          <w:sz w:val="25"/>
        </w:rPr>
        <w:t>Gold</w:t>
      </w:r>
      <w:r>
        <w:rPr>
          <w:i/>
          <w:spacing w:val="-35"/>
          <w:sz w:val="25"/>
        </w:rPr>
        <w:t>       </w:t>
      </w:r>
      <w:r>
        <w:rPr>
          <w:i/>
          <w:spacing w:val="-57"/>
          <w:sz w:val="25"/>
        </w:rPr>
        <w:t>hammer</w:t>
      </w:r>
      <w:r>
        <w:rPr>
          <w:spacing w:val="-57"/>
          <w:sz w:val="24"/>
        </w:rPr>
        <w:t>）</w:t>
      </w:r>
      <w:r>
        <w:rPr>
          <w:spacing w:val="6"/>
          <w:sz w:val="24"/>
        </w:rPr>
        <w:t>等人对这些观察工具进行分类，将这些观察工具分为以下类型：师生互动、话语流、课堂氛围、正负向信息、言语分析、物理空间的使用、保持技能、肢体语言、群体角色、义务与责任等。课程观察评估工具UTOP(</w:t>
      </w:r>
      <w:r>
        <w:rPr>
          <w:rFonts w:ascii="Calibri" w:hAnsi="Calibri" w:eastAsia="Calibri"/>
          <w:i/>
          <w:spacing w:val="6"/>
          <w:sz w:val="24"/>
        </w:rPr>
        <w:t>UTeach Observation </w:t>
      </w:r>
      <w:r>
        <w:rPr>
          <w:rFonts w:ascii="Calibri" w:hAnsi="Calibri" w:eastAsia="Calibri"/>
          <w:i/>
          <w:spacing w:val="7"/>
          <w:sz w:val="24"/>
        </w:rPr>
        <w:t>Protocol</w:t>
      </w:r>
      <w:r>
        <w:rPr>
          <w:spacing w:val="2"/>
          <w:sz w:val="24"/>
        </w:rPr>
        <w:t>)以及师生互动课堂评分系统 </w:t>
      </w:r>
      <w:r>
        <w:rPr>
          <w:spacing w:val="5"/>
          <w:sz w:val="24"/>
        </w:rPr>
        <w:t>CLASS</w:t>
      </w:r>
    </w:p>
    <w:p>
      <w:pPr>
        <w:spacing w:line="328" w:lineRule="auto" w:before="2"/>
        <w:ind w:left="886" w:right="440" w:firstLine="0"/>
        <w:jc w:val="left"/>
        <w:rPr>
          <w:sz w:val="24"/>
        </w:rPr>
      </w:pPr>
      <w:r>
        <w:rPr>
          <w:sz w:val="24"/>
        </w:rPr>
        <w:t>（</w:t>
      </w:r>
      <w:r>
        <w:rPr>
          <w:rFonts w:ascii="Calibri" w:eastAsia="Calibri"/>
          <w:i/>
          <w:sz w:val="24"/>
        </w:rPr>
        <w:t>Classroom Assessment Scoring System</w:t>
      </w:r>
      <w:r>
        <w:rPr>
          <w:sz w:val="24"/>
        </w:rPr>
        <w:t>）等都是目前国际比较通行的大规模课堂观察与评估工具。国内的研究也多集中在量化研究与评估，关注观察与评估工</w:t>
      </w:r>
    </w:p>
    <w:p>
      <w:pPr>
        <w:spacing w:after="0" w:line="328" w:lineRule="auto"/>
        <w:jc w:val="left"/>
        <w:rPr>
          <w:sz w:val="24"/>
        </w:rPr>
        <w:sectPr>
          <w:pgSz w:w="11900" w:h="16840"/>
          <w:pgMar w:header="0" w:footer="735" w:top="1580" w:bottom="920" w:left="700" w:right="1200"/>
        </w:sectPr>
      </w:pPr>
    </w:p>
    <w:p>
      <w:pPr>
        <w:pStyle w:val="BodyText"/>
        <w:spacing w:line="328" w:lineRule="auto" w:before="53"/>
        <w:ind w:left="886" w:right="440"/>
      </w:pPr>
      <w:r>
        <w:rPr>
          <w:spacing w:val="7"/>
        </w:rPr>
        <w:t>具的研发与使用。但正如博特</w:t>
      </w:r>
      <w:r>
        <w:rPr>
          <w:spacing w:val="-53"/>
          <w:sz w:val="22"/>
        </w:rPr>
        <w:t>（</w:t>
      </w:r>
      <w:r>
        <w:rPr>
          <w:i/>
          <w:spacing w:val="-53"/>
          <w:sz w:val="23"/>
        </w:rPr>
        <w:t>Burton,W.H.</w:t>
      </w:r>
      <w:r>
        <w:rPr>
          <w:spacing w:val="-53"/>
          <w:sz w:val="22"/>
        </w:rPr>
        <w:t>）</w:t>
      </w:r>
      <w:r>
        <w:rPr>
          <w:spacing w:val="6"/>
        </w:rPr>
        <w:t>等专家所提醒的那样：“我们必       须要考虑观察和数据收集工具选择的适切性。工具的选择必须与测试的目标相匹配而且要充分考虑工具的有限性。</w:t>
      </w:r>
    </w:p>
    <w:p>
      <w:pPr>
        <w:pStyle w:val="BodyText"/>
        <w:spacing w:line="328" w:lineRule="auto"/>
        <w:ind w:left="886" w:right="438" w:firstLine="513"/>
      </w:pPr>
      <w:r>
        <w:rPr/>
        <w:t>从 20 世纪 70 年代开始，“参与式观察”（</w:t>
      </w:r>
      <w:r>
        <w:rPr>
          <w:rFonts w:ascii="Candara" w:hAnsi="Candara" w:eastAsia="Candara"/>
          <w:i/>
        </w:rPr>
        <w:t>participant observation</w:t>
      </w:r>
      <w:r>
        <w:rPr/>
        <w:t>）的课堂研究得到积极推进。“参与式观察”是指长期进入特定区域，反复观察与收集记录，从而概念化的质性研究的方法。教育中的参与式观察是以特定学校与特定课堂的师生活动为直接对象，描述情境所产生的问题，并使之概念化。斯腾豪斯</w:t>
      </w:r>
    </w:p>
    <w:p>
      <w:pPr>
        <w:spacing w:line="302" w:lineRule="exact" w:before="0"/>
        <w:ind w:left="886" w:right="0" w:firstLine="0"/>
        <w:jc w:val="left"/>
        <w:rPr>
          <w:sz w:val="24"/>
        </w:rPr>
      </w:pPr>
      <w:r>
        <w:rPr>
          <w:sz w:val="24"/>
        </w:rPr>
        <w:t>（</w:t>
      </w:r>
      <w:r>
        <w:rPr>
          <w:rFonts w:ascii="Candara" w:hAnsi="Candara" w:eastAsia="Candara"/>
          <w:i/>
          <w:sz w:val="24"/>
        </w:rPr>
        <w:t>L.Stenhouse</w:t>
      </w:r>
      <w:r>
        <w:rPr>
          <w:sz w:val="24"/>
        </w:rPr>
        <w:t>）提出“教师作为研究者”（</w:t>
      </w:r>
      <w:r>
        <w:rPr>
          <w:rFonts w:ascii="Calibri" w:hAnsi="Calibri" w:eastAsia="Calibri"/>
          <w:i/>
          <w:sz w:val="24"/>
        </w:rPr>
        <w:t>teacher as researcher</w:t>
      </w:r>
      <w:r>
        <w:rPr>
          <w:sz w:val="24"/>
        </w:rPr>
        <w:t>）的概念以</w:t>
      </w:r>
    </w:p>
    <w:p>
      <w:pPr>
        <w:pStyle w:val="BodyText"/>
        <w:spacing w:line="328" w:lineRule="auto" w:before="109"/>
        <w:ind w:left="886" w:right="440"/>
      </w:pPr>
      <w:r>
        <w:rPr/>
        <w:t>后，教师与研究者的合作日趋增多，研究者通过参与教师的日常教育教学实践， 对课堂的事实、事件进行记录，对课堂的话语进行分析，并以此进行社会学、人类学以及教育学的分析，这样的研究方式得到广泛应用。20 世纪 80 年代以后， 唐纳德·舍恩（</w:t>
      </w:r>
      <w:r>
        <w:rPr>
          <w:rFonts w:ascii="Calibri" w:hAnsi="Calibri" w:eastAsia="Calibri"/>
          <w:i/>
        </w:rPr>
        <w:t>Schon.D</w:t>
      </w:r>
      <w:r>
        <w:rPr/>
        <w:t>）提出了教学作为“反思性实践”（</w:t>
      </w:r>
      <w:r>
        <w:rPr>
          <w:rFonts w:ascii="Calibri" w:hAnsi="Calibri" w:eastAsia="Calibri"/>
          <w:i/>
        </w:rPr>
        <w:t>reflective practice</w:t>
      </w:r>
      <w:r>
        <w:rPr/>
        <w:t>） 的观点，课堂的观察与分析更加注重对具体教育情境的实践性认识，对特定课堂的质性研究、案例化研究、行动研究等方式备受青睐。90 年代末，在凯瑟琳· 刘易斯（</w:t>
      </w:r>
      <w:r>
        <w:rPr>
          <w:rFonts w:ascii="Calibri" w:hAnsi="Calibri" w:eastAsia="Calibri"/>
          <w:i/>
        </w:rPr>
        <w:t>Lewis.C</w:t>
      </w:r>
      <w:r>
        <w:rPr/>
        <w:t>）和吉田诚（</w:t>
      </w:r>
      <w:r>
        <w:rPr>
          <w:rFonts w:ascii="Calibri" w:hAnsi="Calibri" w:eastAsia="Calibri"/>
          <w:i/>
        </w:rPr>
        <w:t>Makoto Yosita</w:t>
      </w:r>
      <w:r>
        <w:rPr/>
        <w:t>）等人的介绍下，日本的课例研究</w:t>
      </w:r>
    </w:p>
    <w:p>
      <w:pPr>
        <w:pStyle w:val="BodyText"/>
        <w:spacing w:line="328" w:lineRule="auto"/>
        <w:ind w:left="886" w:right="440"/>
      </w:pPr>
      <w:r>
        <w:rPr>
          <w:spacing w:val="6"/>
        </w:rPr>
        <w:t>（</w:t>
      </w:r>
      <w:r>
        <w:rPr>
          <w:rFonts w:ascii="Calibri" w:eastAsia="Calibri"/>
          <w:i/>
          <w:spacing w:val="6"/>
        </w:rPr>
        <w:t>lesson</w:t>
      </w:r>
      <w:r>
        <w:rPr>
          <w:rFonts w:ascii="Calibri" w:eastAsia="Calibri"/>
          <w:i/>
          <w:spacing w:val="19"/>
        </w:rPr>
        <w:t> </w:t>
      </w:r>
      <w:r>
        <w:rPr>
          <w:rFonts w:ascii="Calibri" w:eastAsia="Calibri"/>
          <w:i/>
          <w:spacing w:val="7"/>
        </w:rPr>
        <w:t>study</w:t>
      </w:r>
      <w:r>
        <w:rPr>
          <w:spacing w:val="7"/>
        </w:rPr>
        <w:t>）</w:t>
      </w:r>
      <w:r>
        <w:rPr>
          <w:spacing w:val="6"/>
        </w:rPr>
        <w:t>受到学界的广泛关注，课例研究逐渐成为提升教师教学效果和学生学业水平的重要方式。在课例研究的过程中，研究者和教师常常作为观察者</w:t>
      </w:r>
      <w:r>
        <w:rPr>
          <w:spacing w:val="7"/>
        </w:rPr>
        <w:t>在研究课</w:t>
      </w:r>
      <w:r>
        <w:rPr>
          <w:spacing w:val="6"/>
        </w:rPr>
        <w:t>（</w:t>
      </w:r>
      <w:r>
        <w:rPr>
          <w:rFonts w:ascii="Calibri" w:eastAsia="Calibri"/>
          <w:i/>
          <w:spacing w:val="6"/>
        </w:rPr>
        <w:t>research</w:t>
      </w:r>
      <w:r>
        <w:rPr>
          <w:rFonts w:ascii="Calibri" w:eastAsia="Calibri"/>
          <w:i/>
          <w:spacing w:val="21"/>
        </w:rPr>
        <w:t> </w:t>
      </w:r>
      <w:r>
        <w:rPr>
          <w:rFonts w:ascii="Calibri" w:eastAsia="Calibri"/>
          <w:i/>
          <w:spacing w:val="7"/>
        </w:rPr>
        <w:t>lesson</w:t>
      </w:r>
      <w:r>
        <w:rPr>
          <w:spacing w:val="7"/>
        </w:rPr>
        <w:t>）</w:t>
      </w:r>
      <w:r>
        <w:rPr>
          <w:spacing w:val="6"/>
        </w:rPr>
        <w:t>中收集教学和学习的各种证据，以此作为课例研讨和教学改进的依据。课堂观察成为重要的研究方法，为了收集尽可能多的证据， </w:t>
      </w:r>
      <w:r>
        <w:rPr>
          <w:spacing w:val="7"/>
        </w:rPr>
        <w:t>课堂观察的内容和方式日趋复杂和学术化。</w:t>
      </w:r>
      <w:r>
        <w:rPr>
          <w:spacing w:val="4"/>
        </w:rPr>
        <w:t>2000</w:t>
      </w:r>
      <w:r>
        <w:rPr/>
        <w:t> 年前后，日本教育家佐藤学</w:t>
      </w:r>
    </w:p>
    <w:p>
      <w:pPr>
        <w:spacing w:line="328" w:lineRule="auto" w:before="0"/>
        <w:ind w:left="886" w:right="440" w:firstLine="0"/>
        <w:jc w:val="left"/>
        <w:rPr>
          <w:sz w:val="24"/>
        </w:rPr>
      </w:pPr>
      <w:r>
        <w:rPr>
          <w:sz w:val="24"/>
        </w:rPr>
        <w:t>（</w:t>
      </w:r>
      <w:r>
        <w:rPr>
          <w:rFonts w:ascii="Calibri" w:eastAsia="Calibri"/>
          <w:i/>
          <w:sz w:val="24"/>
        </w:rPr>
        <w:t>Sato Manabu</w:t>
      </w:r>
      <w:r>
        <w:rPr>
          <w:sz w:val="24"/>
        </w:rPr>
        <w:t>）带领日本中小学教师进行的学习共同体(</w:t>
      </w:r>
      <w:r>
        <w:rPr>
          <w:rFonts w:ascii="Calibri" w:eastAsia="Calibri"/>
          <w:i/>
          <w:sz w:val="24"/>
        </w:rPr>
        <w:t>School as Learning </w:t>
      </w:r>
      <w:r>
        <w:rPr>
          <w:rFonts w:ascii="Calibri" w:eastAsia="Calibri"/>
          <w:i/>
          <w:sz w:val="24"/>
        </w:rPr>
        <w:t>Community ,SLC</w:t>
      </w:r>
      <w:r>
        <w:rPr>
          <w:sz w:val="24"/>
        </w:rPr>
        <w:t>)改革，并对课例研究的方法进行改进，在课堂观察阶段进一步聚焦学生学习证据的收集，在课后研讨阶段倡导教师平等参与课例研讨的机制， 使课例研究成为引导一线教师进行课堂变革的重要方式。本文所倡导的课堂观察与分析的方法深受佐藤学的影响和启发。</w:t>
      </w:r>
    </w:p>
    <w:p>
      <w:pPr>
        <w:pStyle w:val="BodyText"/>
        <w:spacing w:line="328" w:lineRule="auto"/>
        <w:ind w:left="886" w:right="438" w:firstLine="513"/>
      </w:pPr>
      <w:r>
        <w:rPr/>
        <w:t>总之，课堂观察的方法越来越趋向多元，并逐渐形成了量化研究与质性研究相互结合的趋势。但总体来说，量化研究更适合于大规模的课堂分析和质量监测，而对教师来说，参与式观察的方法，特别是聚焦学生的学习过程与成果的观察与分析，对于深入了解学生的学情、提升教师的专业能力是比较实用的。本文所提倡的“焦点学生学习历程观察与关键事件分析”正是基于对课堂观察与分析的历史发展趋势的判断，并结合长期的行动研究发展而来的。</w:t>
      </w:r>
    </w:p>
    <w:p>
      <w:pPr>
        <w:pStyle w:val="Heading3"/>
        <w:spacing w:line="300" w:lineRule="exact"/>
        <w:rPr>
          <w:rFonts w:ascii="黑体" w:eastAsia="黑体" w:hint="eastAsia"/>
        </w:rPr>
      </w:pPr>
      <w:r>
        <w:rPr>
          <w:rFonts w:ascii="黑体" w:eastAsia="黑体" w:hint="eastAsia"/>
        </w:rPr>
        <w:t>二.聚焦学生：深挖个体学生的学习历程</w:t>
      </w:r>
    </w:p>
    <w:p>
      <w:pPr>
        <w:pStyle w:val="BodyText"/>
        <w:spacing w:before="91"/>
        <w:ind w:left="1400"/>
      </w:pPr>
      <w:r>
        <w:rPr/>
        <w:t>课堂观察是揭示学生学习奥秘的重要方式，对教师来说，课堂观察起到</w:t>
      </w:r>
    </w:p>
    <w:p>
      <w:pPr>
        <w:spacing w:after="0"/>
        <w:sectPr>
          <w:pgSz w:w="11900" w:h="16840"/>
          <w:pgMar w:header="0" w:footer="735" w:top="1480" w:bottom="920" w:left="700" w:right="1200"/>
        </w:sectPr>
      </w:pPr>
    </w:p>
    <w:p>
      <w:pPr>
        <w:pStyle w:val="BodyText"/>
        <w:spacing w:line="328" w:lineRule="auto" w:before="53"/>
        <w:ind w:left="886" w:right="438"/>
        <w:jc w:val="both"/>
      </w:pPr>
      <w:r>
        <w:rPr/>
        <w:t>“理论与实践之间的桥梁作用”。要研发真正符合一线教师需要的课堂观察与分析方法，必须满足以下几方面特征：第一，观察和分析的方法比较简明、易行， 观察对象与内容比较明确，教师能够快速掌握，并且能够应用在日常教学和研究活动当中；第二，观察的目标不是指向教师而是指向学生，这样执教教师以及观察者能够以轻松、自然的心情进行观察，而且能够在研讨过程中形成平等互惠的关系；第三，在观察过程中，教师们能够充分运用其丰富的教学智慧，对学生的学习过程与结果进行分析，而不是将教师作为观察的工具；第四，观察结果能够比较直接地反应出学生的学习困境与需求，从而触动教师对自己的教学进行深刻的反思，并据此进行学习设计的改进与课堂变革。从根本上说，教师要成为课堂观察与分析的主力军，而且要将学生作为主要的研究对象，这是教师向学生学习的重要方式，是教师精准把握学情、反思教学、提升教学有效性的重要路径。</w:t>
      </w:r>
    </w:p>
    <w:p>
      <w:pPr>
        <w:pStyle w:val="BodyText"/>
        <w:spacing w:line="331" w:lineRule="auto"/>
        <w:ind w:left="886" w:right="440" w:firstLine="513"/>
      </w:pPr>
      <w:r>
        <w:rPr/>
        <w:t>笔者以行动研究者的身份，以参与式观察的方式进入中小学课堂，进行了十余年的行动研究，对 3000 多节课和 5000 多名学生进行了观察分析。不断尝试国内外课堂研究的各种方法，并进行改进与总结，研发了适用于一线教师和研究者的课堂观察方法——焦点学生学习历程观察与关键事件分析（</w:t>
      </w:r>
      <w:r>
        <w:rPr>
          <w:rFonts w:ascii="Times New Roman" w:hAnsi="Times New Roman" w:eastAsia="Times New Roman"/>
        </w:rPr>
        <w:t>individual </w:t>
      </w:r>
      <w:r>
        <w:rPr>
          <w:rFonts w:ascii="Times New Roman" w:hAnsi="Times New Roman" w:eastAsia="Times New Roman"/>
          <w:w w:val="105"/>
        </w:rPr>
        <w:t>student   learning-   process   observation   and    critical-    incidents </w:t>
      </w:r>
      <w:r>
        <w:rPr>
          <w:rFonts w:ascii="Times New Roman" w:hAnsi="Times New Roman" w:eastAsia="Times New Roman"/>
        </w:rPr>
        <w:t>analysis</w:t>
      </w:r>
      <w:r>
        <w:rPr/>
        <w:t>）：即对个体学生完整学习历程进行观察,并对此学生学习过程中的关 键事件进行分析。观察者以个体学生的学习过程作为观察对象，尝试进入个体学生的真实世界，跟踪学生学习的全过程，收集学习相关的完整证据，分析具体学生学习过程中的关键事件，真正发现个体学生学习的困境与需求，不断总结学生学习规律，以此促进教师的自我反思与教学重构。目前，全国有数百所学校正采用这一方法进行课堂变革，课堂观察正成为开启课堂变革之门的金钥匙。课堂观察与研究的新范式正在形成：课堂观察从以教师的教为中心，转向以学生的学为中心；从对课堂中抽象的师生及其相互关系的行为学分析转向对具体学生完整学</w:t>
      </w:r>
      <w:r>
        <w:rPr>
          <w:w w:val="105"/>
        </w:rPr>
        <w:t>习历程的深入探讨，从而真正打开学生学习的“黑匣子”。</w:t>
      </w:r>
    </w:p>
    <w:p>
      <w:pPr>
        <w:pStyle w:val="Heading3"/>
        <w:spacing w:line="290" w:lineRule="exact"/>
        <w:ind w:left="1143"/>
      </w:pPr>
      <w:r>
        <w:rPr/>
        <w:t>（一）观察目的：从“观摩—评价”取向到“观察—自我反思”取向</w:t>
      </w:r>
    </w:p>
    <w:p>
      <w:pPr>
        <w:pStyle w:val="BodyText"/>
        <w:spacing w:line="328" w:lineRule="auto" w:before="99"/>
        <w:ind w:left="886" w:right="439" w:firstLine="513"/>
      </w:pPr>
      <w:r>
        <w:rPr/>
        <w:t>以“观察—评价”为取向的常规教研存在的困境在于：其一，话语权分配不公平。在“听评课”或常规教研过程中，教师较少拥有话语权，处于被评价的弱势地位，难以真正参与到平等的研究中去。其二，主观化倾向明显。对于“什么样的课是好课”以及“谁的课是好课”，往往是仁者见仁智者见智，每个人以自己的标准对课堂进行评价，缺少真正客观的、实质性的证据，以评价者的主观判断为依据的教研活动，往往最终走入教学改进的权力怪圈，这样不但可能带来教学的方向性错误，更可能造成教师自我专业自觉的泯灭。课堂观察如果采用</w:t>
      </w:r>
    </w:p>
    <w:p>
      <w:pPr>
        <w:spacing w:after="0" w:line="328" w:lineRule="auto"/>
        <w:sectPr>
          <w:pgSz w:w="11900" w:h="16840"/>
          <w:pgMar w:header="0" w:footer="735" w:top="1480" w:bottom="920" w:left="700" w:right="1200"/>
        </w:sectPr>
      </w:pPr>
    </w:p>
    <w:p>
      <w:pPr>
        <w:pStyle w:val="BodyText"/>
        <w:spacing w:line="328" w:lineRule="auto" w:before="53"/>
        <w:ind w:left="886" w:right="438"/>
      </w:pPr>
      <w:r>
        <w:rPr>
          <w:spacing w:val="6"/>
        </w:rPr>
        <w:t>“观摩—评价”取向，即便评价指标更加细致全面，评价过程看上去更加科学严谨，但其最终的目的并没有改变，因此无法从根本上解决上述关键性问题。</w:t>
      </w:r>
    </w:p>
    <w:p>
      <w:pPr>
        <w:pStyle w:val="BodyText"/>
        <w:spacing w:line="305" w:lineRule="exact"/>
        <w:ind w:left="1400"/>
      </w:pPr>
      <w:r>
        <w:rPr>
          <w:spacing w:val="6"/>
        </w:rPr>
        <w:t>从本质上看，课堂观察最终的目的不应该聚焦于评价执教教师的教学好</w:t>
      </w:r>
    </w:p>
    <w:p>
      <w:pPr>
        <w:pStyle w:val="BodyText"/>
        <w:spacing w:line="328" w:lineRule="auto" w:before="113"/>
        <w:ind w:left="886" w:right="440"/>
        <w:jc w:val="both"/>
      </w:pPr>
      <w:r>
        <w:rPr/>
        <w:t>坏，而在于真正深入地理解课堂的生态，特别是理解学生到底是如何学习的，学生的学习规律和学习需求决定了教学活动的展开。遗憾的是，多数教师对学生的学习不甚理解，也缺少科学的方法去研究学生的学习，这就使得教师的备课和教学一直处于比较主观的状态，教学质量也就无法保障，因此，当务之急是让每一位教师通过细致深入的课堂观察来理解和发现学生学习的奥秘，从而共同解决教学的核心问题。因此，课堂观察者与执教教师应完全平等，而且目标一致，即深刻理解学生的学习需求与学习规律，从而进行自我反思，自觉改进教学，并找到专业发展的生长点。从根本上说，课堂观察的自我反思取向是教师走向专业自觉的重要路径和方法。</w:t>
      </w:r>
    </w:p>
    <w:p>
      <w:pPr>
        <w:pStyle w:val="Heading3"/>
        <w:spacing w:line="328" w:lineRule="auto"/>
        <w:ind w:left="886" w:right="642" w:firstLine="513"/>
        <w:rPr>
          <w:rFonts w:ascii="黑体" w:hAnsi="黑体" w:eastAsia="黑体" w:hint="eastAsia"/>
        </w:rPr>
      </w:pPr>
      <w:r>
        <w:rPr>
          <w:rFonts w:ascii="黑体" w:hAnsi="黑体" w:eastAsia="黑体" w:hint="eastAsia"/>
          <w:spacing w:val="9"/>
          <w:w w:val="95"/>
        </w:rPr>
        <w:t>（</w:t>
      </w:r>
      <w:r>
        <w:rPr>
          <w:rFonts w:ascii="黑体" w:hAnsi="黑体" w:eastAsia="黑体" w:hint="eastAsia"/>
          <w:spacing w:val="7"/>
          <w:w w:val="95"/>
        </w:rPr>
        <w:t>二</w:t>
      </w:r>
      <w:r>
        <w:rPr>
          <w:rFonts w:ascii="黑体" w:hAnsi="黑体" w:eastAsia="黑体" w:hint="eastAsia"/>
          <w:spacing w:val="9"/>
          <w:w w:val="95"/>
        </w:rPr>
        <w:t>）</w:t>
      </w:r>
      <w:r>
        <w:rPr>
          <w:rFonts w:ascii="黑体" w:hAnsi="黑体" w:eastAsia="黑体" w:hint="eastAsia"/>
          <w:spacing w:val="6"/>
          <w:w w:val="95"/>
        </w:rPr>
        <w:t>观察焦点：从观察“执教教师的教学过程”到观察“具体学生的完  </w:t>
      </w:r>
      <w:r>
        <w:rPr>
          <w:rFonts w:ascii="黑体" w:hAnsi="黑体" w:eastAsia="黑体" w:hint="eastAsia"/>
          <w:spacing w:val="6"/>
        </w:rPr>
        <w:t>整学习历程”</w:t>
      </w:r>
    </w:p>
    <w:p>
      <w:pPr>
        <w:pStyle w:val="BodyText"/>
        <w:spacing w:line="328" w:lineRule="auto"/>
        <w:ind w:left="886" w:right="440" w:firstLine="513"/>
      </w:pPr>
      <w:r>
        <w:rPr/>
        <w:t>当前国内外的课堂观察具有明显的工具性特征，很多研究者都将研究重点放在观察工具的开发上，以至于观察的维度越来越多，越来越精细，需要大型的研究团队来支撑，还要借助特殊的录播教室和软件来进行辅助才能进行，所以很难常态化。更重要的是，因为观察观察维度过多，观察者和教师往往被庞杂的数据所困，找不到分析和应用数据的有效方法，因此课堂观察所获得的数据往往得不到充分的解读和应用。</w:t>
      </w:r>
    </w:p>
    <w:p>
      <w:pPr>
        <w:pStyle w:val="BodyText"/>
        <w:spacing w:line="328" w:lineRule="auto"/>
        <w:ind w:left="886" w:right="440" w:firstLine="513"/>
      </w:pPr>
      <w:r>
        <w:rPr/>
        <w:t>课堂观察要真正聚焦具体学生，对每位学生的学习事实进行全面的跟踪和深入地挖掘。要真正了解学生的学习是如何展开的，观察者要俯下身去，真正走进学生的世界中，认真观察具体学生的表情、动作、语言，与他人的互动，完成学习成果的过程等等，要对学生的思维方式等进行深入地分析。这样做观察者会发现：学生的真实学习的展开是缓慢而复杂的，而且每一位学生的个性特征、思考方式、问题解决策略、互动方式等等都存在较大差异，这让我们真正认识到学习过程的复杂性和困难度，教师在进行教学设计的时候，就会更多地考虑学生的心理特点和认知规律，从而使教学设计更加贴近学生的学习需求。</w:t>
      </w:r>
    </w:p>
    <w:p>
      <w:pPr>
        <w:pStyle w:val="Heading3"/>
        <w:spacing w:line="297" w:lineRule="exact"/>
        <w:ind w:left="1143"/>
        <w:rPr>
          <w:rFonts w:ascii="黑体" w:hAnsi="黑体" w:eastAsia="黑体" w:hint="eastAsia"/>
        </w:rPr>
      </w:pPr>
      <w:r>
        <w:rPr>
          <w:rFonts w:ascii="黑体" w:hAnsi="黑体" w:eastAsia="黑体" w:hint="eastAsia"/>
        </w:rPr>
        <w:t>（三）观察深度：从观察“学生外显行为”到探究“学生的真实世界”</w:t>
      </w:r>
    </w:p>
    <w:p>
      <w:pPr>
        <w:pStyle w:val="BodyText"/>
        <w:spacing w:line="328" w:lineRule="auto" w:before="90"/>
        <w:ind w:left="886" w:right="438" w:firstLine="384"/>
      </w:pPr>
      <w:r>
        <w:rPr/>
        <w:t>当前课堂观察与评估工具往往聚焦于课堂中的教师和学生的外显行为的调查和分析，可以说具有明显的行为主义的倾向。这对于研究复杂而深刻的学生学习活动是欠妥的。在课堂这样的公共场域中，以作为“价值无涉”的观察者视角所看到的学生，与真实的学生之间往往存在较大差距。如果我们只将具体学生看作</w:t>
      </w:r>
    </w:p>
    <w:p>
      <w:pPr>
        <w:spacing w:after="0" w:line="328" w:lineRule="auto"/>
        <w:sectPr>
          <w:pgSz w:w="11900" w:h="16840"/>
          <w:pgMar w:header="0" w:footer="735" w:top="1480" w:bottom="920" w:left="700" w:right="1200"/>
        </w:sectPr>
      </w:pPr>
    </w:p>
    <w:p>
      <w:pPr>
        <w:pStyle w:val="BodyText"/>
        <w:spacing w:line="328" w:lineRule="auto" w:before="53"/>
        <w:ind w:left="886" w:right="440"/>
      </w:pPr>
      <w:r>
        <w:rPr>
          <w:spacing w:val="6"/>
        </w:rPr>
        <w:t>课堂的一个小小的组成部分，那么我们能够获得的关于这位学生的信息是非常有限的；如果我们将这位学生看作这个课堂的核心主体，全身心地投入到对这位学生的体察和研究之中，就能够获得海量的、细致而深刻的信息，学生完整的学习历程、学生的心理特征、认知风格、互动关系、学习困难、精彩观点等等会完全展现在观察者的视野之中，引发观察者反思和进一步研究的问题会不断呈现出 来，学生学习的奥秘就一点点被揭开。</w:t>
      </w:r>
    </w:p>
    <w:p>
      <w:pPr>
        <w:pStyle w:val="BodyText"/>
        <w:spacing w:line="328" w:lineRule="auto"/>
        <w:ind w:left="886" w:right="440" w:firstLine="513"/>
      </w:pPr>
      <w:r>
        <w:rPr>
          <w:spacing w:val="6"/>
        </w:rPr>
        <w:t>这需要观察者能够拆解表面世界，真正进入学生的真实世界。表面世界是标签化的世界，是一个人外在的表现，是易被觉知、易被改变的；而真实的世界是不易被知觉、不易改变的，是真正的自我。表面世界如同可见的冰山，而真实世界则是冰山之下的部分。当观察者以权威者的角色来观察学生时，学生就会变得渺小、笨拙，学生的表现也变得微不足道，所以观察者很难看到学生细微的表现，也难以体会学生微妙的内心变化和学习状态改变。观察者必须打破坚冰层， 进入冰山之下，以平等的心态与所观察的学生进行深入地对话，去体会、感受、理解和诠释学生真实的想法、困惑、意愿、需求，只有真正站在学生的立场，与学生同呼吸共命运之时，学生的真实世界才能向观察者开放，观察者要运用</w:t>
      </w:r>
    </w:p>
    <w:p>
      <w:pPr>
        <w:pStyle w:val="BodyText"/>
        <w:spacing w:line="296" w:lineRule="exact"/>
        <w:ind w:left="886"/>
      </w:pPr>
      <w:r>
        <w:rPr/>
        <w:t>“眼”、“耳”、“心”共同接受信息，并进行迅速地解读与反思。</w:t>
      </w:r>
    </w:p>
    <w:p>
      <w:pPr>
        <w:pStyle w:val="BodyText"/>
        <w:ind w:left="950"/>
        <w:rPr>
          <w:sz w:val="20"/>
        </w:rPr>
      </w:pPr>
      <w:r>
        <w:rPr>
          <w:sz w:val="20"/>
        </w:rPr>
        <w:drawing>
          <wp:inline distT="0" distB="0" distL="0" distR="0">
            <wp:extent cx="5278850" cy="2046255"/>
            <wp:effectExtent l="0" t="0" r="0" b="0"/>
            <wp:docPr id="55" name="image33.jpeg"/>
            <wp:cNvGraphicFramePr>
              <a:graphicFrameLocks noChangeAspect="1"/>
            </wp:cNvGraphicFramePr>
            <a:graphic>
              <a:graphicData uri="http://schemas.openxmlformats.org/drawingml/2006/picture">
                <pic:pic>
                  <pic:nvPicPr>
                    <pic:cNvPr id="56" name="image33.jpeg"/>
                    <pic:cNvPicPr/>
                  </pic:nvPicPr>
                  <pic:blipFill>
                    <a:blip r:embed="rId42" cstate="print"/>
                    <a:stretch>
                      <a:fillRect/>
                    </a:stretch>
                  </pic:blipFill>
                  <pic:spPr>
                    <a:xfrm>
                      <a:off x="0" y="0"/>
                      <a:ext cx="5278850" cy="2046255"/>
                    </a:xfrm>
                    <a:prstGeom prst="rect">
                      <a:avLst/>
                    </a:prstGeom>
                  </pic:spPr>
                </pic:pic>
              </a:graphicData>
            </a:graphic>
          </wp:inline>
        </w:drawing>
      </w:r>
      <w:r>
        <w:rPr>
          <w:sz w:val="20"/>
        </w:rPr>
      </w:r>
    </w:p>
    <w:p>
      <w:pPr>
        <w:pStyle w:val="BodyText"/>
        <w:spacing w:before="91"/>
        <w:ind w:left="2295"/>
        <w:rPr>
          <w:rFonts w:ascii="楷体" w:eastAsia="楷体" w:hint="eastAsia"/>
        </w:rPr>
      </w:pPr>
      <w:r>
        <w:rPr>
          <w:rFonts w:ascii="楷体" w:eastAsia="楷体" w:hint="eastAsia"/>
        </w:rPr>
        <w:t>图 1 表面世界与真实世界关系示意图</w:t>
      </w:r>
    </w:p>
    <w:p>
      <w:pPr>
        <w:pStyle w:val="Heading3"/>
        <w:spacing w:before="112"/>
        <w:ind w:left="1529"/>
        <w:rPr>
          <w:rFonts w:ascii="黑体" w:eastAsia="黑体" w:hint="eastAsia"/>
        </w:rPr>
      </w:pPr>
      <w:r>
        <w:rPr>
          <w:rFonts w:ascii="黑体" w:eastAsia="黑体" w:hint="eastAsia"/>
        </w:rPr>
        <w:t>三.深入情境：阐释学生学习的关键事件</w:t>
      </w:r>
    </w:p>
    <w:p>
      <w:pPr>
        <w:pStyle w:val="BodyText"/>
        <w:spacing w:before="113"/>
        <w:ind w:left="1527"/>
      </w:pPr>
      <w:r>
        <w:rPr/>
        <w:t>大卫·特里普（</w:t>
      </w:r>
      <w:r>
        <w:rPr>
          <w:rFonts w:ascii="Times New Roman" w:hAnsi="Times New Roman" w:eastAsia="Times New Roman"/>
        </w:rPr>
        <w:t>David Tripp</w:t>
      </w:r>
      <w:r>
        <w:rPr/>
        <w:t>)在教师教育中引入“教学中的关键事件</w:t>
      </w:r>
    </w:p>
    <w:p>
      <w:pPr>
        <w:spacing w:line="328" w:lineRule="auto" w:before="112"/>
        <w:ind w:left="886" w:right="438" w:firstLine="0"/>
        <w:jc w:val="left"/>
        <w:rPr>
          <w:rFonts w:ascii="Candara" w:hAnsi="Candara" w:eastAsia="Candara"/>
          <w:i/>
          <w:sz w:val="24"/>
        </w:rPr>
      </w:pPr>
      <w:r>
        <w:rPr>
          <w:sz w:val="24"/>
        </w:rPr>
        <w:t>（</w:t>
      </w:r>
      <w:r>
        <w:rPr>
          <w:rFonts w:ascii="Calibri" w:hAnsi="Calibri" w:eastAsia="Calibri"/>
          <w:i/>
          <w:sz w:val="24"/>
        </w:rPr>
        <w:t>Critical-Incidents in Teaching</w:t>
      </w:r>
      <w:r>
        <w:rPr>
          <w:sz w:val="24"/>
        </w:rPr>
        <w:t>）”的概念。他认为“关键事件”是“对所观察到的现象的描述和记录，并对事件进行分析和解释”，是“大量日常社会语境中的典型案例”。在课堂观察中，随着课堂中的情境不断切换，观察者与学生进行着内心世界的持续对话。在动态的学习变化情境中，一些重要的情境片段会引发观察者的强烈关注，让观察者产生较强的心理波动，并不自觉地对此情境进行反思和分析，这就是关于“学生学习的关键事件”（</w:t>
      </w:r>
      <w:r>
        <w:rPr>
          <w:rFonts w:ascii="Candara" w:hAnsi="Candara" w:eastAsia="Candara"/>
          <w:i/>
          <w:sz w:val="24"/>
        </w:rPr>
        <w:t>Critical-Incidents in</w:t>
      </w:r>
    </w:p>
    <w:p>
      <w:pPr>
        <w:spacing w:after="0" w:line="328" w:lineRule="auto"/>
        <w:jc w:val="left"/>
        <w:rPr>
          <w:rFonts w:ascii="Candara" w:hAnsi="Candara" w:eastAsia="Candara"/>
          <w:sz w:val="24"/>
        </w:rPr>
        <w:sectPr>
          <w:pgSz w:w="11900" w:h="16840"/>
          <w:pgMar w:header="0" w:footer="735" w:top="1480" w:bottom="920" w:left="700" w:right="1200"/>
        </w:sectPr>
      </w:pPr>
    </w:p>
    <w:p>
      <w:pPr>
        <w:pStyle w:val="BodyText"/>
        <w:spacing w:line="328" w:lineRule="auto" w:before="53"/>
        <w:ind w:left="886" w:right="440"/>
        <w:jc w:val="both"/>
      </w:pPr>
      <w:r>
        <w:rPr>
          <w:rFonts w:ascii="Candara" w:eastAsia="Candara"/>
          <w:i/>
        </w:rPr>
        <w:t>Leaching</w:t>
      </w:r>
      <w:r>
        <w:rPr/>
        <w:t>）。课堂观察者只要保持对学生学习的真正关切与好奇，学生学习的过程中的关键事件就会不断涌现出来，每个关键事件都是对学生学习特征的一种阐释和表征，如果对这些关键事件进行深入地分析，就会挖掘其中所包含的深刻教育内涵。学生学习的关键事件往往表现在以下五个方面：</w:t>
      </w:r>
    </w:p>
    <w:p>
      <w:pPr>
        <w:pStyle w:val="Heading3"/>
        <w:spacing w:line="302" w:lineRule="exact"/>
      </w:pPr>
      <w:r>
        <w:rPr/>
        <w:t>(一)学生学习心理状态变化之时</w:t>
      </w:r>
    </w:p>
    <w:p>
      <w:pPr>
        <w:pStyle w:val="BodyText"/>
        <w:spacing w:line="328" w:lineRule="auto" w:before="113"/>
        <w:ind w:left="886" w:right="440" w:firstLine="513"/>
      </w:pPr>
      <w:r>
        <w:rPr/>
        <w:t>学生的心理状态对学习效果会产生很大的影响。在教育情境中，防御机制会使学生的学习不发生。作为一种规律来说，学生需要有高度的安全感、许可和动机来克服这些防御。一般来说，学生心理比较安全，内心相对稳定、放松，将更容易进入学习状态，相反如果学生比较紧张焦虑、不知所措，就会难以集中精力学习。而学生的心理状态也会根据课堂情境发生变化，作为观察者要敏感地意识到学生的心理状态的变化，并找到引发学生心理状态变化的线索，以此为依据来推断如何让学生进入安全、平静、投入的心理状态，从而促进学生的学习。</w:t>
      </w:r>
    </w:p>
    <w:p>
      <w:pPr>
        <w:pStyle w:val="Heading3"/>
        <w:spacing w:line="299" w:lineRule="exact"/>
      </w:pPr>
      <w:r>
        <w:rPr/>
        <w:t>（二）学生独特认知风格显现之时</w:t>
      </w:r>
    </w:p>
    <w:p>
      <w:pPr>
        <w:pStyle w:val="BodyText"/>
        <w:spacing w:line="328" w:lineRule="auto" w:before="112"/>
        <w:ind w:left="886" w:right="440" w:firstLine="513"/>
      </w:pPr>
      <w:r>
        <w:rPr/>
        <w:t>每一位学生都有不同的人生经验、知识基础和思维方式，这些组成了学生独特的认知风格。作为观察者，我们会看到几乎每位学生都在按照自己最熟悉、最适应、最舒适的方式来进行思考和问题解决。这对于群体的学习来说，既是一种资源，也是一种困境。每个人的认知风格不同，如果能够充分利用这种思考问题的路径差异，就会让学生获得更多的学习机会，但如果企图用一种方式来简单地统一学生的答案，就会产生各种各样的问题。因此，作为教师必须首先要理解学生认知风格的差异，对于某一个特定问题，学生们到底有多少种思考方式，以及学生为什么会产生这些方案等等。教师在对学生的认知风格和学习方式充分理解的基础上，可以对学生进行针对性的指导，发挥每位学生的优势和特长。</w:t>
      </w:r>
    </w:p>
    <w:p>
      <w:pPr>
        <w:pStyle w:val="Heading3"/>
        <w:spacing w:line="296" w:lineRule="exact"/>
      </w:pPr>
      <w:r>
        <w:rPr/>
        <w:t>（三）学生学习的困顿之处</w:t>
      </w:r>
    </w:p>
    <w:p>
      <w:pPr>
        <w:pStyle w:val="BodyText"/>
        <w:spacing w:before="113"/>
        <w:ind w:left="1400"/>
      </w:pPr>
      <w:r>
        <w:rPr/>
        <w:t>学生面对的学习困难是我们课堂观察的重点。学生从自己的已知世界出</w:t>
      </w:r>
    </w:p>
    <w:p>
      <w:pPr>
        <w:pStyle w:val="BodyText"/>
        <w:spacing w:line="328" w:lineRule="auto" w:before="112"/>
        <w:ind w:left="886" w:right="440"/>
        <w:jc w:val="both"/>
      </w:pPr>
      <w:r>
        <w:rPr/>
        <w:t>发，去努力探索未知世界的过程最为珍贵，但在探寻未知的过程中往往会遇到困难，“遭遇问题—解决问题—获得新知”是学生学习的重要途径。但在长期的课堂观察中我们会看到，很多学生的学习困境难以被察觉因此不断累积，并最终沦为“学困生”，失去学习的兴趣和信心。错综复杂的正确与错误理解的矛盾结构建立起来，这会强烈地促使学生最终放弃学习。面对学生可能出现的各种问题， 观察者就会反思到底要怎样进行学习设计，才能使学生有效地克服学习中的各种困难，并且引领学生不断深化学习。观察者对于个体学生学习困顿之处的觉知与分析，可以为教师的教学设计和改进提供实质性的帮助。</w:t>
      </w:r>
    </w:p>
    <w:p>
      <w:pPr>
        <w:pStyle w:val="Heading3"/>
        <w:spacing w:line="297" w:lineRule="exact"/>
      </w:pPr>
      <w:r>
        <w:rPr/>
        <w:t>（四）学生间的社会关系呈现之时</w:t>
      </w:r>
    </w:p>
    <w:p>
      <w:pPr>
        <w:spacing w:after="0" w:line="297" w:lineRule="exact"/>
        <w:sectPr>
          <w:pgSz w:w="11900" w:h="16840"/>
          <w:pgMar w:header="0" w:footer="735" w:top="1480" w:bottom="920" w:left="700" w:right="1200"/>
        </w:sectPr>
      </w:pPr>
    </w:p>
    <w:p>
      <w:pPr>
        <w:pStyle w:val="BodyText"/>
        <w:spacing w:line="328" w:lineRule="auto" w:before="53"/>
        <w:ind w:left="886" w:right="438" w:firstLine="513"/>
      </w:pPr>
      <w:r>
        <w:rPr/>
        <w:t>为了便于对学生的学习历程进行深入的观察，观察者往往选取某位具体学生作为主要的观察对象，但实际上每位学生都有一个复杂的生态圈，这些构成了学生的重要学习环境和学习资源。如果观察者能够观察到焦点学生与教师、学习伙伴、外在环境之间的互动方式等，这将有利于强化对学生学习的深度分析。佐藤学提出“串联”的重要性，即要把教材与学生串联起来，把一位学生同其他学生串联起来，把课堂里学习的知识同社会上的事件串联起来，把学生的现在同未来串联起来。对于研究者来说，要获得关于焦点学生更多的关键信息，对学生进行全面而深入地了解，这样才能真正诠释学生的学习。</w:t>
      </w:r>
    </w:p>
    <w:p>
      <w:pPr>
        <w:pStyle w:val="Heading3"/>
        <w:spacing w:line="297" w:lineRule="exact"/>
      </w:pPr>
      <w:r>
        <w:rPr/>
        <w:t>（五）学生学习成果特征显露之时</w:t>
      </w:r>
    </w:p>
    <w:p>
      <w:pPr>
        <w:pStyle w:val="BodyText"/>
        <w:spacing w:line="328" w:lineRule="auto" w:before="113"/>
        <w:ind w:left="886" w:right="440" w:firstLine="513"/>
      </w:pPr>
      <w:r>
        <w:rPr/>
        <w:t>观察者对学生的完整学习过程的持续关注，就会发现学生学习成果的逐渐呈现。如果我们采用学习单、学具等方式来辅助学生的问题解决，就可以清楚地看到学生学习成果的具体表现。观察员可以协助执教教师对学习成果进行全面系统的分析，这对于了解学生普遍的困难和问题，发现学生独特的观点和方法具有重要意义。因为执教教师往往只是看到学生的学习结果，而观察者却清楚地看到学生的学习过程，因此当我们将学生最终学习成果与学生完整学习过程进行综合分析，学生学习的证据链会更加全面和真实，这对于学生的学习起到了质量跟踪的重要作用。</w:t>
      </w:r>
    </w:p>
    <w:p>
      <w:pPr>
        <w:pStyle w:val="BodyText"/>
        <w:spacing w:line="328" w:lineRule="auto"/>
        <w:ind w:left="886" w:right="440" w:firstLine="513"/>
      </w:pPr>
      <w:r>
        <w:rPr>
          <w:spacing w:val="6"/>
        </w:rPr>
        <w:t>课后，观察者可以对所焦点学生进行深度访谈，对学生的学习成果进行二次分析。并与学生进行对话，对学生学习过程中的关键事件进行再确认，挖掘其中深层次意义，从而对课堂中的关键事件进行深刻的检视，增强课堂观察获取证据的丰富性和完整性。如有必要还可以做面向全班的学生的问卷调查或者访谈， 从而在更大范围内对课堂观察证据进行确认和完善。</w:t>
      </w:r>
    </w:p>
    <w:p>
      <w:pPr>
        <w:pStyle w:val="BodyText"/>
        <w:spacing w:line="328" w:lineRule="auto"/>
        <w:ind w:left="886" w:right="440" w:firstLine="513"/>
      </w:pPr>
      <w:r>
        <w:rPr/>
        <w:t>总之，动态的、难以预测的课堂事件中包含着很多的参与者，而且很多事情的发生比较突然。多数课堂事件的发生极为迅速，所以多数真实的课堂事件都是来不及记录的。这需要观察者时刻保持对关键事件的敏感性，对焦点学生学习过程中的动态信息有充分的把握，能够对焦点学生的学习过程进行前后事件的串联和对比，从而分析出焦点学生学习变化的规律，并且要将学生学习中的关键事件与教师的教学设计、学生之间的社会关系之间进行有效的串联，形成对关键事件的阐释能力，并在学生学习的关键事件中进行自我反思，从而获得分析课堂关键事件、阐释学生学习困境与需求，并据此进行教学反思与改进的能力,并塑造和改造自身的教育哲学。</w:t>
      </w:r>
    </w:p>
    <w:p>
      <w:pPr>
        <w:pStyle w:val="Heading3"/>
        <w:spacing w:line="296" w:lineRule="exact"/>
        <w:rPr>
          <w:rFonts w:ascii="黑体" w:eastAsia="黑体" w:hint="eastAsia"/>
        </w:rPr>
      </w:pPr>
      <w:r>
        <w:rPr>
          <w:rFonts w:ascii="黑体" w:eastAsia="黑体" w:hint="eastAsia"/>
        </w:rPr>
        <w:t>四.课后研讨：根据动态学情改进教学设计</w:t>
      </w:r>
    </w:p>
    <w:p>
      <w:pPr>
        <w:pStyle w:val="BodyText"/>
        <w:spacing w:before="96"/>
        <w:ind w:left="1400"/>
      </w:pPr>
      <w:r>
        <w:rPr/>
        <w:t>课例研讨是课堂观察与研究的重要组成部分，这是教师们回顾自己的课堂</w:t>
      </w:r>
    </w:p>
    <w:p>
      <w:pPr>
        <w:spacing w:after="0"/>
        <w:sectPr>
          <w:pgSz w:w="11900" w:h="16840"/>
          <w:pgMar w:header="0" w:footer="735" w:top="1480" w:bottom="920" w:left="700" w:right="1200"/>
        </w:sectPr>
      </w:pPr>
    </w:p>
    <w:p>
      <w:pPr>
        <w:pStyle w:val="BodyText"/>
        <w:spacing w:line="328" w:lineRule="auto" w:before="53"/>
        <w:ind w:left="886" w:right="439"/>
        <w:jc w:val="both"/>
      </w:pPr>
      <w:r>
        <w:rPr/>
        <w:t>观察内容，反思课堂中关键事件，并从中进行学习和研究的重要时机。为了让所有教师都平等参与到研讨对话中来，我们确定了课例研讨的“非评价性原则”， 即不对执教教师进行简单的评价，不去评判教学的“好坏”，而是将每一节课作为研究学生如何进行学习的课例载体。每位观察者与执教教师是完全平等的，作为平等的研究者，共同探讨学生在课堂上的学习情况。</w:t>
      </w:r>
    </w:p>
    <w:p>
      <w:pPr>
        <w:pStyle w:val="Heading3"/>
        <w:spacing w:line="301" w:lineRule="exact"/>
      </w:pPr>
      <w:r>
        <w:rPr>
          <w:spacing w:val="9"/>
          <w:w w:val="95"/>
        </w:rPr>
        <w:t>（</w:t>
      </w:r>
      <w:r>
        <w:rPr>
          <w:spacing w:val="7"/>
          <w:w w:val="95"/>
        </w:rPr>
        <w:t>一</w:t>
      </w:r>
      <w:r>
        <w:rPr>
          <w:spacing w:val="9"/>
          <w:w w:val="95"/>
        </w:rPr>
        <w:t>）</w:t>
      </w:r>
      <w:r>
        <w:rPr>
          <w:spacing w:val="6"/>
          <w:w w:val="95"/>
        </w:rPr>
        <w:t>关键事件回溯与多元化分析</w:t>
      </w:r>
    </w:p>
    <w:p>
      <w:pPr>
        <w:pStyle w:val="BodyText"/>
        <w:spacing w:line="328" w:lineRule="auto" w:before="113"/>
        <w:ind w:left="886" w:right="438" w:firstLine="513"/>
      </w:pPr>
      <w:r>
        <w:rPr>
          <w:spacing w:val="6"/>
        </w:rPr>
        <w:t>一直以来的课堂观察具有“重评价、轻研讨”的倾向。很多教师在课堂观察之后并不参加课例研讨，特别对于自己认为不太成功的课则报以“不值得研 讨”的态度。事实上，每一节课都值得深入研讨，研讨的价值不在于分辨教学成功与否，而在于真正深入理解和发现学生。如果持续关注我们会发现，每一位学生在一节课中也经历了复杂的学习过程，这个过程是由很多环环相扣的事件构 成，如果不去关心，不去理会，或许都只是一件件小事，但对于观察者来说，课堂中所发生的事件的价值需要观察者去衡量。回溯那些触动内心的关键事件，将引发我们不断地思考。经过长时间的、持续性的个案观察和研究，观察者将到得很多有价值的、有依据的关键性结论。</w:t>
      </w:r>
    </w:p>
    <w:p>
      <w:pPr>
        <w:pStyle w:val="BodyText"/>
        <w:spacing w:line="296" w:lineRule="exact"/>
        <w:ind w:left="1400"/>
      </w:pPr>
      <w:r>
        <w:rPr/>
        <w:t>课例研讨的过程中，观察者将自己所观察的个体学生的学习过程进行描</w:t>
      </w:r>
    </w:p>
    <w:p>
      <w:pPr>
        <w:pStyle w:val="BodyText"/>
        <w:spacing w:line="328" w:lineRule="auto" w:before="112"/>
        <w:ind w:left="886" w:right="440"/>
        <w:jc w:val="both"/>
      </w:pPr>
      <w:r>
        <w:rPr/>
        <w:t>述，特别是结合录像和照片等图像数据，将学生学习过程中的关键事件进行阐释和分析，重点突出这位焦点学生的学习特点、学习方式以及学习困境，每位观察者根据具体情境对学生的学习过程进行分析和判断，并从中进行反思和学习。</w:t>
      </w:r>
    </w:p>
    <w:p>
      <w:pPr>
        <w:pStyle w:val="BodyText"/>
        <w:spacing w:line="328" w:lineRule="auto"/>
        <w:ind w:left="886" w:right="440" w:firstLine="513"/>
      </w:pPr>
      <w:r>
        <w:rPr/>
        <w:t>每一位观察者重点关注一位学生，能够获得对这个学生的全面、具体、生动的信息，这对于深入研究每一位学生独特的学习方式是极为重要的。同时，为了保证对全班不同学习基础和学习类型的学生的关注，需要通过教师团队的共同观察和协同研讨来实现。教师团队中的每个人都需要认真倾听其他观察员对其所观察学生的学习情况的汇报与分析，这是课例研究团队存在的重要价值。互相之间的平等对话，不但能够扩大观察对象的数量和类型，弥补信息缺陷，而且可以对关键事件进行多元化分析，让每位观察者看到关键事件可能引发的不同的思考和观点，这对于厘清事实、深化分析大有裨益，在对学生学习历程和关键事件的分析和探讨中，以学生学习研究为中心的教师专业共同体逐渐形成。</w:t>
      </w:r>
    </w:p>
    <w:p>
      <w:pPr>
        <w:pStyle w:val="Heading3"/>
        <w:spacing w:line="296" w:lineRule="exact"/>
      </w:pPr>
      <w:r>
        <w:rPr/>
        <w:t>（二）重新发现学生与改进教学</w:t>
      </w:r>
    </w:p>
    <w:p>
      <w:pPr>
        <w:pStyle w:val="BodyText"/>
        <w:spacing w:line="328" w:lineRule="auto" w:before="109"/>
        <w:ind w:left="886" w:right="440" w:firstLine="513"/>
      </w:pPr>
      <w:r>
        <w:rPr/>
        <w:t>课堂观察的核心目的是为了让每一位观察者回到教学现场，重新发现课堂中的每一位学生，发现每一位学生不同的身心特质、学习困境与心理需求。当我们真正用自己的双眼真切地看到这些长期被隐藏的真相时，我们就会对教学设计的适切性进行再认识，而课后研讨的过程就是让每一位观察者去发现，并且通过</w:t>
      </w:r>
    </w:p>
    <w:p>
      <w:pPr>
        <w:spacing w:after="0" w:line="328" w:lineRule="auto"/>
        <w:sectPr>
          <w:pgSz w:w="11900" w:h="16840"/>
          <w:pgMar w:header="0" w:footer="735" w:top="1480" w:bottom="920" w:left="700" w:right="1200"/>
        </w:sectPr>
      </w:pPr>
    </w:p>
    <w:p>
      <w:pPr>
        <w:pStyle w:val="BodyText"/>
        <w:spacing w:line="328" w:lineRule="auto" w:before="53"/>
        <w:ind w:left="886" w:right="440"/>
      </w:pPr>
      <w:r>
        <w:rPr>
          <w:spacing w:val="6"/>
        </w:rPr>
        <w:t>平等对话，产生互动和共鸣的过程，也是通过对学生学习情境的回溯自觉进行集体性反思的过程。</w:t>
      </w:r>
    </w:p>
    <w:p>
      <w:pPr>
        <w:pStyle w:val="BodyText"/>
        <w:spacing w:line="328" w:lineRule="auto"/>
        <w:ind w:left="886" w:right="440" w:firstLine="513"/>
      </w:pPr>
      <w:r>
        <w:rPr/>
        <w:drawing>
          <wp:anchor distT="0" distB="0" distL="0" distR="0" allowOverlap="1" layoutInCell="1" locked="0" behindDoc="1" simplePos="0" relativeHeight="250461184">
            <wp:simplePos x="0" y="0"/>
            <wp:positionH relativeFrom="page">
              <wp:posOffset>1312163</wp:posOffset>
            </wp:positionH>
            <wp:positionV relativeFrom="paragraph">
              <wp:posOffset>2862961</wp:posOffset>
            </wp:positionV>
            <wp:extent cx="4949952" cy="2868168"/>
            <wp:effectExtent l="0" t="0" r="0" b="0"/>
            <wp:wrapNone/>
            <wp:docPr id="57" name="image34.jpeg"/>
            <wp:cNvGraphicFramePr>
              <a:graphicFrameLocks noChangeAspect="1"/>
            </wp:cNvGraphicFramePr>
            <a:graphic>
              <a:graphicData uri="http://schemas.openxmlformats.org/drawingml/2006/picture">
                <pic:pic>
                  <pic:nvPicPr>
                    <pic:cNvPr id="58" name="image34.jpeg"/>
                    <pic:cNvPicPr/>
                  </pic:nvPicPr>
                  <pic:blipFill>
                    <a:blip r:embed="rId44" cstate="print"/>
                    <a:stretch>
                      <a:fillRect/>
                    </a:stretch>
                  </pic:blipFill>
                  <pic:spPr>
                    <a:xfrm>
                      <a:off x="0" y="0"/>
                      <a:ext cx="4949952" cy="2868168"/>
                    </a:xfrm>
                    <a:prstGeom prst="rect">
                      <a:avLst/>
                    </a:prstGeom>
                  </pic:spPr>
                </pic:pic>
              </a:graphicData>
            </a:graphic>
          </wp:anchor>
        </w:drawing>
      </w:r>
      <w:r>
        <w:rPr>
          <w:spacing w:val="6"/>
        </w:rPr>
        <w:t>对学生学习的观察要深入细致，而此后的研讨和反思更要慎重、深刻。在研讨的过程中我们会看到每一位学生可能面临的认知困境和迷思概念，并思考如何通过完善学习设计来弥补和解决。教学的改进需要不断迭代：最初教师的教学改进主要着眼于学生学科知识的获得，即如何帮助学生解决目前明显的学习困 难；而后要去思考学生在学习方法上的缺陷和问题，以及如何提升学生对学习的学习兴趣，优化其学习方法；接下来则要从学生综合素养发展的角度上去思考， 如何让学生自觉运用所学知识去进行实际问题的解决；最后但也是最重要的是， 思考如何引导学生进行全新的创造，充分发挥学生在学习中的主动性、内驱力和创造力，只有这样的学习才是持久的、深刻的。教师作为观察者和研究者，要结合学生当下的学习需求和长远的发展可能，不断更新学习设计，给学生以强有力的专业性的支持。</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8"/>
        <w:rPr>
          <w:sz w:val="26"/>
        </w:rPr>
      </w:pPr>
    </w:p>
    <w:p>
      <w:pPr>
        <w:pStyle w:val="BodyText"/>
        <w:spacing w:before="1"/>
        <w:ind w:left="2780"/>
      </w:pPr>
      <w:r>
        <w:rPr/>
        <w:t>图 2 学生的学习需求与长远发展模型</w:t>
      </w:r>
    </w:p>
    <w:p>
      <w:pPr>
        <w:pStyle w:val="BodyText"/>
        <w:spacing w:line="328" w:lineRule="auto" w:before="112"/>
        <w:ind w:left="886" w:right="439" w:firstLine="513"/>
      </w:pPr>
      <w:r>
        <w:rPr/>
        <w:t>焦点学生学习历程观察与关键事件分析具有比较普遍的适用性，无论是教育研究者还是一线教师都可以使用，这种研究方法不依赖于外在工具，主要借助观察者的专业判断。每一位观察者成为专注的倾听者，倾听来自于儿童的任何微小的声音，敏锐地感知儿童身心发展的需求，这是精准把握学情的重要方式。对个体教师来说，通过焦点学生学习历程观察可以深入了解每一位学生的具体学习情况，从而进行更加科学、精致化的学习设计，并对学生进行个别化指导；对于学校来说，转变传统的校本教研方式，教师以学生的学习为观察重点，并以“分析学生的学习历程，讲述学生的学习故事”作为研究的重点内容，将大大提升教</w:t>
      </w:r>
    </w:p>
    <w:p>
      <w:pPr>
        <w:spacing w:after="0" w:line="328" w:lineRule="auto"/>
        <w:sectPr>
          <w:footerReference w:type="default" r:id="rId43"/>
          <w:pgSz w:w="11900" w:h="16840"/>
          <w:pgMar w:footer="735" w:header="0" w:top="1480" w:bottom="920" w:left="700" w:right="1200"/>
          <w:pgNumType w:start="40"/>
        </w:sectPr>
      </w:pPr>
    </w:p>
    <w:p>
      <w:pPr>
        <w:pStyle w:val="BodyText"/>
        <w:spacing w:line="328" w:lineRule="auto" w:before="53"/>
        <w:ind w:left="886" w:right="440"/>
      </w:pPr>
      <w:r>
        <w:rPr/>
        <w:t>研活动的有效性，为课堂变革提供更加清晰、明确的证据指向，并逐渐形成教师之间的“同僚性”（collegiality），促进教师整体专业能力的提升。</w:t>
      </w:r>
    </w:p>
    <w:p>
      <w:pPr>
        <w:pStyle w:val="BodyText"/>
        <w:spacing w:line="328" w:lineRule="auto"/>
        <w:ind w:left="886" w:right="440" w:firstLine="513"/>
      </w:pPr>
      <w:r>
        <w:rPr/>
        <w:t>但同时，在实践中我们也意识到，焦点学生学习历程观察与关键事件分析对教师的专业要求比较高，需要教师对学生保持高度的敏感性和投入度，还要具备透过学生的外在表现分析学生的内在心理和认知过程的能力。这需要教师观察经验的不断累积以及对保持对观察案例的积极反思。另外，焦点学生学习历程观察法要根据学校和教师的需求不断迭代和发展，学校和教师以此方法为基础，根据自身的需求和特点进行创造性的实施。未来，焦点学生学习历程观察法必然要与脑科学、信息技术等进行有效的结合，逐渐进化为多元学习分析的方法。</w:t>
      </w:r>
    </w:p>
    <w:p>
      <w:pPr>
        <w:pStyle w:val="BodyText"/>
        <w:spacing w:line="328" w:lineRule="auto"/>
        <w:ind w:left="886" w:right="440" w:firstLine="513"/>
      </w:pPr>
      <w:r>
        <w:rPr/>
        <w:t>课堂观察与研究绝非易事，观察能力的获得需要通过大量的实践去形成。我们必须借助持续的、反复的、客观的观察，不断地对儿童的学习以及教学进行重新评估。通过观察我们将更好地理解儿童、尊重儿童，从而获得为儿童创设良好生活和学习环境的能力，这样学生才能获得安全感和自信力，从而更加独立、快乐、自由地学习。总之，更加深入的了解儿童，为儿童提供更加公平而质量的教育是我们的根本目标。以教师代表的成人要转变为儿童世界的倾听者，以学生真实的学习为中心开展研究与实践，向儿童学习、向教师同伴学习，从而形成真正意义上的学习共同体。</w:t>
      </w:r>
    </w:p>
    <w:p>
      <w:pPr>
        <w:pStyle w:val="BodyText"/>
        <w:spacing w:line="328" w:lineRule="auto"/>
        <w:ind w:left="886" w:right="526" w:firstLine="513"/>
        <w:rPr>
          <w:rFonts w:ascii="楷体" w:hAnsi="楷体" w:eastAsia="楷体" w:hint="eastAsia"/>
        </w:rPr>
      </w:pPr>
      <w:r>
        <w:rPr>
          <w:rFonts w:ascii="楷体" w:hAnsi="楷体" w:eastAsia="楷体" w:hint="eastAsia"/>
        </w:rPr>
        <w:t>本文系 2019 年全国教育科学规划课题教育部重点课题“基于学生深度学习的教育生态重构”</w:t>
      </w:r>
    </w:p>
    <w:p>
      <w:pPr>
        <w:spacing w:after="0" w:line="328" w:lineRule="auto"/>
        <w:rPr>
          <w:rFonts w:ascii="楷体" w:hAnsi="楷体" w:eastAsia="楷体" w:hint="eastAsia"/>
        </w:rPr>
        <w:sectPr>
          <w:pgSz w:w="11900" w:h="16840"/>
          <w:pgMar w:header="0" w:footer="735" w:top="1480" w:bottom="920" w:left="700" w:right="1200"/>
        </w:sectPr>
      </w:pPr>
    </w:p>
    <w:p>
      <w:pPr>
        <w:pStyle w:val="BodyText"/>
        <w:ind w:left="442"/>
        <w:rPr>
          <w:rFonts w:ascii="楷体"/>
          <w:sz w:val="20"/>
        </w:rPr>
      </w:pPr>
      <w:r>
        <w:rPr>
          <w:rFonts w:ascii="楷体"/>
          <w:sz w:val="20"/>
        </w:rPr>
        <w:pict>
          <v:group style="width:146.3pt;height:67.350pt;mso-position-horizontal-relative:char;mso-position-vertical-relative:line" coordorigin="0,0" coordsize="2926,1347">
            <v:shape style="position:absolute;left:0;top:0;width:2926;height:1347" type="#_x0000_t75" stroked="false">
              <v:imagedata r:id="rId10" o:title=""/>
            </v:shape>
            <v:shape style="position:absolute;left:0;top:0;width:2926;height:1347" type="#_x0000_t202" filled="false" stroked="false">
              <v:textbox inset="0,0,0,0">
                <w:txbxContent>
                  <w:p>
                    <w:pPr>
                      <w:spacing w:line="240" w:lineRule="auto" w:before="11"/>
                      <w:rPr>
                        <w:rFonts w:ascii="楷体"/>
                        <w:sz w:val="30"/>
                      </w:rPr>
                    </w:pPr>
                  </w:p>
                  <w:p>
                    <w:pPr>
                      <w:spacing w:before="1"/>
                      <w:ind w:left="443" w:right="0" w:firstLine="0"/>
                      <w:jc w:val="left"/>
                      <w:rPr>
                        <w:b/>
                        <w:sz w:val="44"/>
                      </w:rPr>
                    </w:pPr>
                    <w:r>
                      <w:rPr>
                        <w:b/>
                        <w:sz w:val="44"/>
                      </w:rPr>
                      <w:t>书香致远</w:t>
                    </w:r>
                  </w:p>
                </w:txbxContent>
              </v:textbox>
              <w10:wrap type="none"/>
            </v:shape>
          </v:group>
        </w:pict>
      </w:r>
      <w:r>
        <w:rPr>
          <w:rFonts w:ascii="楷体"/>
          <w:sz w:val="20"/>
        </w:rPr>
      </w:r>
    </w:p>
    <w:p>
      <w:pPr>
        <w:pStyle w:val="BodyText"/>
        <w:spacing w:before="4"/>
        <w:rPr>
          <w:rFonts w:ascii="楷体"/>
          <w:sz w:val="16"/>
        </w:rPr>
      </w:pPr>
    </w:p>
    <w:p>
      <w:pPr>
        <w:pStyle w:val="Heading1"/>
        <w:spacing w:before="49"/>
      </w:pPr>
      <w:r>
        <w:rPr/>
        <w:t>生如水，师如堰</w:t>
      </w:r>
    </w:p>
    <w:p>
      <w:pPr>
        <w:pStyle w:val="BodyText"/>
        <w:spacing w:line="362" w:lineRule="auto" w:before="7"/>
        <w:ind w:left="886" w:right="469" w:firstLine="482"/>
      </w:pPr>
      <w:r>
        <w:rPr/>
        <w:t>和余秋雨观点一样，我也一直认为，中国最伟大的古代工程在一定意义上不是长城，而是都江堰。</w:t>
      </w:r>
    </w:p>
    <w:p>
      <w:pPr>
        <w:pStyle w:val="BodyText"/>
        <w:spacing w:line="364" w:lineRule="auto" w:before="5"/>
        <w:ind w:left="886" w:right="469" w:firstLine="482"/>
        <w:jc w:val="both"/>
      </w:pPr>
      <w:r>
        <w:rPr/>
        <w:t>长城虽浩大、雄伟、蜿蜒万里，但却早已失去了其存在的实用价值，有的只是其象征意义和历史遗存价值。而早在长城修筑前就已完成的都江堰水利工程运行科学，且与环境和谐结合，在历史和当下都具有普适价值。</w:t>
      </w:r>
    </w:p>
    <w:p>
      <w:pPr>
        <w:pStyle w:val="BodyText"/>
        <w:spacing w:line="364" w:lineRule="auto"/>
        <w:ind w:left="886" w:right="469" w:firstLine="482"/>
        <w:jc w:val="both"/>
      </w:pPr>
      <w:r>
        <w:rPr/>
        <w:t>都江堰巧妙如斯——堰与水息息相关，和谐共生，二者没有利害，没有对立。由都江堰观照教育，不由让人感慨遐想。可以说，师生关系的最高境界、最真切、恰如其分的表达当是“生者如水，师者如堰”。</w:t>
      </w:r>
    </w:p>
    <w:p>
      <w:pPr>
        <w:pStyle w:val="BodyText"/>
        <w:spacing w:line="364" w:lineRule="auto"/>
        <w:ind w:left="886" w:right="471" w:firstLine="482"/>
      </w:pPr>
      <w:r>
        <w:rPr/>
        <w:t>生如水。水，万物之灵、纯洁无邪、自然流淌；水，无形、可塑、且善变无 </w:t>
      </w:r>
      <w:r>
        <w:rPr>
          <w:spacing w:val="-1"/>
        </w:rPr>
        <w:t>常；水，极富创新、灵动——这不正是学生的特性吗？他们如水一般纯洁无邪、自</w:t>
      </w:r>
      <w:r>
        <w:rPr/>
        <w:t>然灵动。对于如“水”一般天真学子的教育，应该是一种神圣的使命和责任。</w:t>
      </w:r>
    </w:p>
    <w:p>
      <w:pPr>
        <w:pStyle w:val="BodyText"/>
        <w:spacing w:line="364" w:lineRule="auto"/>
        <w:ind w:left="886" w:right="469" w:firstLine="482"/>
        <w:jc w:val="both"/>
      </w:pPr>
      <w:r>
        <w:rPr/>
        <w:t>师如堰。堰，为水而设，为水而生。堰与水，息息相关，不可割舍。为师者， “传道、授业、解惑”；为师者，不可简单生猛，做拦水、堵水之“堤坝”；为师者，应该春风化雨，润物无声，如顺水、护水之“都江之堰”。生者，水也，看似柔弱，拦之、堵之、截之，均不可，方法不当便会如脱缰之野马，肆虐成害；水， 看似无常，但顺之、导之、疏之，则会自然流淌，滋润千里，一程欢歌，这才是教育正道、教育真谛。我们对学生的教育应像堰一样，重点关注学生的终身发展、自然发展、天性发展。</w:t>
      </w:r>
    </w:p>
    <w:p>
      <w:pPr>
        <w:pStyle w:val="BodyText"/>
        <w:spacing w:line="364" w:lineRule="auto"/>
        <w:ind w:left="886" w:right="469" w:firstLine="482"/>
        <w:jc w:val="both"/>
      </w:pPr>
      <w:r>
        <w:rPr/>
        <w:t>那么，如何做到“都江堰”般意义上的真正师者？如何成为学生未来成长和发展的引路人，而不是冰冷的、高大的、无情的“坝”？教师须当离学生近一点，和他们息息相通。</w:t>
      </w:r>
    </w:p>
    <w:p>
      <w:pPr>
        <w:pStyle w:val="BodyText"/>
        <w:spacing w:line="364" w:lineRule="auto"/>
        <w:ind w:left="886" w:right="469" w:firstLine="482"/>
        <w:jc w:val="both"/>
      </w:pPr>
      <w:r>
        <w:rPr/>
        <w:t>离学生的心灵近一点。师者要和学生在一起，要当“孩子王”，知道学生的想法，了解学生的心理特征和年龄特征。都江堰中的分水鱼嘴、宝瓶口、飞沙堰、石桩人像的设计总是在非常合适的时间、地点、位置设置，让岷江之水顺畅自然地为人类服务，说明设计者李冰父子知水、识水。所以，作为师者，应该贴近学生、了</w:t>
      </w:r>
    </w:p>
    <w:p>
      <w:pPr>
        <w:spacing w:after="0" w:line="364" w:lineRule="auto"/>
        <w:jc w:val="both"/>
        <w:sectPr>
          <w:pgSz w:w="11900" w:h="16840"/>
          <w:pgMar w:header="0" w:footer="735" w:top="1540" w:bottom="920" w:left="700" w:right="1200"/>
        </w:sectPr>
      </w:pPr>
    </w:p>
    <w:p>
      <w:pPr>
        <w:pStyle w:val="BodyText"/>
        <w:spacing w:line="364" w:lineRule="auto" w:before="43"/>
        <w:ind w:left="886" w:right="471"/>
      </w:pPr>
      <w:r>
        <w:rPr>
          <w:spacing w:val="-1"/>
        </w:rPr>
        <w:t>解学生，了解他们的所思、所想，由此做到循循善诱、因材施教。当一向乖巧的学生突然接连几天家庭作业出了问题、开朗的男孩突然变得敏感而脆弱、文静少言的学生突然给你个熊抱说“很想你”时，了解他们的教师一定能感觉得到他们的心理与情绪变化。负责任的教师会及时和他们谈心，给予他们温暖，用师爱去填补他们</w:t>
      </w:r>
      <w:r>
        <w:rPr/>
        <w:t>缺失的爱。教师一定要有颗敏感的、能和学生心心相通的心，才能让学生之水清 澈、欢畅。</w:t>
      </w:r>
    </w:p>
    <w:p>
      <w:pPr>
        <w:pStyle w:val="BodyText"/>
        <w:spacing w:line="364" w:lineRule="auto"/>
        <w:ind w:left="886" w:right="439" w:firstLine="482"/>
      </w:pPr>
      <w:r>
        <w:rPr/>
        <w:t>离学生的趣味近一点。师者要和学生趣味相投，要当学生的伙伴，要知道学生的情趣、兴趣、爱好，了解学生们想什么，需什么。都江堰中、水中石桩的深度、鱼嘴的高度和坡度非常巧妙，如此，就做到了洪水来时的适当分水，枯水期时的不过度截水，且泥沙清理的深度也有严格的要求，这是基于李冰父子和古代劳动人民对岷江之水的长期观察和研究而成。实践证明，学生喜欢的教师无一不是和他们在一起的教师。美国传记电影《叫我第一名》中的科恩（</w:t>
      </w:r>
      <w:r>
        <w:rPr>
          <w:rFonts w:ascii="Times New Roman" w:hAnsi="Times New Roman" w:eastAsia="Times New Roman"/>
        </w:rPr>
        <w:t>Brad</w:t>
      </w:r>
      <w:r>
        <w:rPr>
          <w:rFonts w:ascii="Times New Roman" w:hAnsi="Times New Roman" w:eastAsia="Times New Roman"/>
          <w:spacing w:val="-1"/>
        </w:rPr>
        <w:t> </w:t>
      </w:r>
      <w:r>
        <w:rPr>
          <w:rFonts w:ascii="Times New Roman" w:hAnsi="Times New Roman" w:eastAsia="Times New Roman"/>
        </w:rPr>
        <w:t>Cohen</w:t>
      </w:r>
      <w:r>
        <w:rPr/>
        <w:t>）老师、《热血教师》中的罗恩·克拉克老师（</w:t>
      </w:r>
      <w:r>
        <w:rPr>
          <w:rFonts w:ascii="Times New Roman" w:hAnsi="Times New Roman" w:eastAsia="Times New Roman"/>
        </w:rPr>
        <w:t>Ron</w:t>
      </w:r>
      <w:r>
        <w:rPr>
          <w:rFonts w:ascii="Times New Roman" w:hAnsi="Times New Roman" w:eastAsia="Times New Roman"/>
          <w:spacing w:val="-2"/>
        </w:rPr>
        <w:t> </w:t>
      </w:r>
      <w:r>
        <w:rPr>
          <w:rFonts w:ascii="Times New Roman" w:hAnsi="Times New Roman" w:eastAsia="Times New Roman"/>
        </w:rPr>
        <w:t>Clark</w:t>
      </w:r>
      <w:r>
        <w:rPr/>
        <w:t>）</w:t>
      </w:r>
      <w:r>
        <w:rPr>
          <w:spacing w:val="-1"/>
        </w:rPr>
        <w:t>曾给我们留下至深印象，他们最了解学</w:t>
      </w:r>
      <w:r>
        <w:rPr/>
        <w:t>生，最爱学生，教育最有耐性，学生才最喜欢他们。那些贪玩的学生，往往在体 育、音乐、科技等方面有兴趣；那些沉默不语、过于安静或是孤僻的学生，他们的美术常常很出色；那些话特别多的学生，则可以培养成演说家……学生们个性多 样，就看教师能否发现他们的特性，能不能因材施教、依趣施教。</w:t>
      </w:r>
    </w:p>
    <w:p>
      <w:pPr>
        <w:pStyle w:val="BodyText"/>
        <w:spacing w:line="364" w:lineRule="auto"/>
        <w:ind w:left="886" w:right="469" w:firstLine="482"/>
      </w:pPr>
      <w:r>
        <w:rPr>
          <w:spacing w:val="-1"/>
        </w:rPr>
        <w:t>离学生的发展近一点。师者要以广博学识研究学生，要当学生导师，要直觉地</w:t>
      </w:r>
      <w:r>
        <w:rPr/>
        <w:t>知道什么对学生的发展才是最重要的，什么能影响学生的终身发展。只有做研究 </w:t>
      </w:r>
      <w:r>
        <w:rPr>
          <w:spacing w:val="-1"/>
        </w:rPr>
        <w:t>型、学者型的教师，才能成为学生成长路上的指引者，通过阅读、思维、体育、艺术、实践等，引领学生成长和发展。像苏霍姆林斯基、陶行知一样，研究孩子、关</w:t>
      </w:r>
      <w:r>
        <w:rPr/>
        <w:t>注孩子，做到“润育潜质、培养习惯、发展个性、奠基未来”，这样的教育才智 慧、才经典。</w:t>
      </w:r>
    </w:p>
    <w:p>
      <w:pPr>
        <w:pStyle w:val="BodyText"/>
        <w:spacing w:line="362" w:lineRule="auto"/>
        <w:ind w:left="886" w:right="469" w:firstLine="482"/>
        <w:jc w:val="both"/>
      </w:pPr>
      <w:r>
        <w:rPr/>
        <w:t>生如水，师如堰。只有真正了解学生，贴近学生，作为引路人的我们才能真正成为学生喜欢的教师、为学生终身发展负责的教师，校园也才能真正成为经典教育之书苑、文苑，学生生命成长之乐苑、学苑。</w:t>
      </w:r>
    </w:p>
    <w:p>
      <w:pPr>
        <w:pStyle w:val="BodyText"/>
        <w:ind w:left="4289"/>
      </w:pPr>
      <w:r>
        <w:rPr/>
        <w:t>（作者刘昌晓，系山东省威海市实验小学校长）</w:t>
      </w:r>
    </w:p>
    <w:p>
      <w:pPr>
        <w:pStyle w:val="BodyText"/>
        <w:spacing w:before="154"/>
        <w:ind w:left="4529"/>
      </w:pPr>
      <w:r>
        <w:rPr/>
        <w:t>《中国教育报》</w:t>
      </w:r>
      <w:r>
        <w:rPr>
          <w:rFonts w:ascii="Times New Roman" w:eastAsia="Times New Roman"/>
        </w:rPr>
        <w:t>2020 </w:t>
      </w:r>
      <w:r>
        <w:rPr/>
        <w:t>年 </w:t>
      </w:r>
      <w:r>
        <w:rPr>
          <w:rFonts w:ascii="Times New Roman" w:eastAsia="Times New Roman"/>
        </w:rPr>
        <w:t>05 </w:t>
      </w:r>
      <w:r>
        <w:rPr/>
        <w:t>月 </w:t>
      </w:r>
      <w:r>
        <w:rPr>
          <w:rFonts w:ascii="Times New Roman" w:eastAsia="Times New Roman"/>
        </w:rPr>
        <w:t>13 </w:t>
      </w:r>
      <w:r>
        <w:rPr/>
        <w:t>日第 </w:t>
      </w:r>
      <w:r>
        <w:rPr>
          <w:rFonts w:ascii="Times New Roman" w:eastAsia="Times New Roman"/>
        </w:rPr>
        <w:t>8 </w:t>
      </w:r>
      <w:r>
        <w:rPr/>
        <w:t>版</w:t>
      </w:r>
    </w:p>
    <w:p>
      <w:pPr>
        <w:spacing w:after="0"/>
        <w:sectPr>
          <w:pgSz w:w="11900" w:h="16840"/>
          <w:pgMar w:header="0" w:footer="735" w:top="1380" w:bottom="920" w:left="700" w:right="1200"/>
        </w:sectPr>
      </w:pPr>
    </w:p>
    <w:p>
      <w:pPr>
        <w:pStyle w:val="BodyText"/>
        <w:rPr>
          <w:sz w:val="9"/>
        </w:rPr>
      </w:pPr>
    </w:p>
    <w:p>
      <w:pPr>
        <w:pStyle w:val="BodyText"/>
        <w:ind w:left="368"/>
        <w:rPr>
          <w:sz w:val="20"/>
        </w:rPr>
      </w:pPr>
      <w:r>
        <w:rPr>
          <w:sz w:val="20"/>
        </w:rPr>
        <w:pict>
          <v:group style="width:150pt;height:60.6pt;mso-position-horizontal-relative:char;mso-position-vertical-relative:line" coordorigin="0,0" coordsize="3000,1212">
            <v:shape style="position:absolute;left:0;top:0;width:3000;height:1212" type="#_x0000_t75" stroked="false">
              <v:imagedata r:id="rId10" o:title=""/>
            </v:shape>
            <v:shape style="position:absolute;left:0;top:0;width:3000;height:1212" type="#_x0000_t202" filled="false" stroked="false">
              <v:textbox inset="0,0,0,0">
                <w:txbxContent>
                  <w:p>
                    <w:pPr>
                      <w:spacing w:before="300"/>
                      <w:ind w:left="518" w:right="0" w:firstLine="0"/>
                      <w:jc w:val="left"/>
                      <w:rPr>
                        <w:rFonts w:ascii="黑体" w:eastAsia="黑体" w:hint="eastAsia"/>
                        <w:b/>
                        <w:sz w:val="44"/>
                      </w:rPr>
                    </w:pPr>
                    <w:r>
                      <w:rPr>
                        <w:rFonts w:ascii="黑体" w:eastAsia="黑体" w:hint="eastAsia"/>
                        <w:b/>
                        <w:sz w:val="44"/>
                      </w:rPr>
                      <w:t>学科前沿</w:t>
                    </w:r>
                  </w:p>
                </w:txbxContent>
              </v:textbox>
              <w10:wrap type="none"/>
            </v:shape>
          </v:group>
        </w:pict>
      </w:r>
      <w:r>
        <w:rPr>
          <w:sz w:val="20"/>
        </w:rPr>
      </w:r>
    </w:p>
    <w:p>
      <w:pPr>
        <w:pStyle w:val="BodyText"/>
        <w:spacing w:before="2"/>
        <w:rPr>
          <w:sz w:val="8"/>
        </w:rPr>
      </w:pPr>
    </w:p>
    <w:p>
      <w:pPr>
        <w:pStyle w:val="Heading1"/>
        <w:spacing w:before="49"/>
        <w:ind w:left="314"/>
      </w:pPr>
      <w:bookmarkStart w:name="议题式教学的理论架构与操作策略" w:id="12"/>
      <w:bookmarkEnd w:id="12"/>
      <w:r>
        <w:rPr>
          <w:b w:val="0"/>
        </w:rPr>
      </w:r>
      <w:r>
        <w:rPr>
          <w:color w:val="333333"/>
        </w:rPr>
        <w:t>议题式教学的理论架构与操作策略</w:t>
      </w:r>
    </w:p>
    <w:p>
      <w:pPr>
        <w:pStyle w:val="Heading2"/>
        <w:tabs>
          <w:tab w:pos="2692" w:val="left" w:leader="none"/>
        </w:tabs>
        <w:spacing w:before="63"/>
        <w:ind w:left="453"/>
        <w:jc w:val="center"/>
        <w:rPr>
          <w:rFonts w:ascii="宋体" w:eastAsia="宋体" w:hint="eastAsia"/>
        </w:rPr>
      </w:pPr>
      <w:r>
        <w:rPr>
          <w:rFonts w:ascii="宋体" w:eastAsia="宋体" w:hint="eastAsia"/>
        </w:rPr>
        <w:t>苏</w:t>
      </w:r>
      <w:r>
        <w:rPr>
          <w:rFonts w:ascii="宋体" w:eastAsia="宋体" w:hint="eastAsia"/>
          <w:spacing w:val="-3"/>
        </w:rPr>
        <w:t>州</w:t>
      </w:r>
      <w:r>
        <w:rPr>
          <w:rFonts w:ascii="宋体" w:eastAsia="宋体" w:hint="eastAsia"/>
        </w:rPr>
        <w:t>市吴</w:t>
      </w:r>
      <w:r>
        <w:rPr>
          <w:rFonts w:ascii="宋体" w:eastAsia="宋体" w:hint="eastAsia"/>
          <w:spacing w:val="-3"/>
        </w:rPr>
        <w:t>江</w:t>
      </w:r>
      <w:r>
        <w:rPr>
          <w:rFonts w:ascii="宋体" w:eastAsia="宋体" w:hint="eastAsia"/>
        </w:rPr>
        <w:t>中学</w:t>
        <w:tab/>
        <w:t>沈</w:t>
      </w:r>
      <w:r>
        <w:rPr>
          <w:rFonts w:ascii="宋体" w:eastAsia="宋体" w:hint="eastAsia"/>
          <w:spacing w:val="-3"/>
        </w:rPr>
        <w:t>雪</w:t>
      </w:r>
      <w:r>
        <w:rPr>
          <w:rFonts w:ascii="宋体" w:eastAsia="宋体" w:hint="eastAsia"/>
        </w:rPr>
        <w:t>春</w:t>
      </w:r>
    </w:p>
    <w:p>
      <w:pPr>
        <w:spacing w:before="61"/>
        <w:ind w:left="866" w:right="1171" w:firstLine="0"/>
        <w:jc w:val="center"/>
        <w:rPr>
          <w:rFonts w:ascii="黑体" w:eastAsia="黑体" w:hint="eastAsia"/>
          <w:sz w:val="28"/>
        </w:rPr>
      </w:pPr>
      <w:r>
        <w:rPr>
          <w:rFonts w:ascii="黑体" w:eastAsia="黑体" w:hint="eastAsia"/>
          <w:sz w:val="28"/>
        </w:rPr>
        <w:t>第一讲</w:t>
      </w:r>
    </w:p>
    <w:p>
      <w:pPr>
        <w:spacing w:before="62"/>
        <w:ind w:left="172" w:right="0" w:firstLine="0"/>
        <w:jc w:val="center"/>
        <w:rPr>
          <w:rFonts w:ascii="黑体" w:eastAsia="黑体" w:hint="eastAsia"/>
          <w:sz w:val="28"/>
        </w:rPr>
      </w:pPr>
      <w:r>
        <w:rPr>
          <w:rFonts w:ascii="黑体" w:eastAsia="黑体" w:hint="eastAsia"/>
          <w:sz w:val="28"/>
        </w:rPr>
        <w:t>我与议题式教学的美丽相约</w:t>
      </w:r>
    </w:p>
    <w:p>
      <w:pPr>
        <w:pStyle w:val="BodyText"/>
        <w:spacing w:before="113"/>
        <w:ind w:left="886"/>
      </w:pPr>
      <w:r>
        <w:rPr/>
        <w:t>一、美丽相约：开启议题式教学的探索之旅</w:t>
      </w:r>
    </w:p>
    <w:p>
      <w:pPr>
        <w:pStyle w:val="BodyText"/>
        <w:spacing w:before="2"/>
        <w:ind w:left="886"/>
      </w:pPr>
      <w:r>
        <w:rPr/>
        <w:t>（一）与高考相约</w:t>
      </w:r>
    </w:p>
    <w:p>
      <w:pPr>
        <w:pStyle w:val="BodyText"/>
        <w:spacing w:before="3"/>
        <w:rPr>
          <w:sz w:val="9"/>
        </w:rPr>
      </w:pPr>
      <w:r>
        <w:rPr/>
        <w:drawing>
          <wp:anchor distT="0" distB="0" distL="0" distR="0" allowOverlap="1" layoutInCell="1" locked="0" behindDoc="0" simplePos="0" relativeHeight="32">
            <wp:simplePos x="0" y="0"/>
            <wp:positionH relativeFrom="page">
              <wp:posOffset>1007363</wp:posOffset>
            </wp:positionH>
            <wp:positionV relativeFrom="paragraph">
              <wp:posOffset>99948</wp:posOffset>
            </wp:positionV>
            <wp:extent cx="5409618" cy="1804225"/>
            <wp:effectExtent l="0" t="0" r="0" b="0"/>
            <wp:wrapTopAndBottom/>
            <wp:docPr id="59" name="image35.jpeg"/>
            <wp:cNvGraphicFramePr>
              <a:graphicFrameLocks noChangeAspect="1"/>
            </wp:cNvGraphicFramePr>
            <a:graphic>
              <a:graphicData uri="http://schemas.openxmlformats.org/drawingml/2006/picture">
                <pic:pic>
                  <pic:nvPicPr>
                    <pic:cNvPr id="60" name="image35.jpeg"/>
                    <pic:cNvPicPr/>
                  </pic:nvPicPr>
                  <pic:blipFill>
                    <a:blip r:embed="rId45" cstate="print"/>
                    <a:stretch>
                      <a:fillRect/>
                    </a:stretch>
                  </pic:blipFill>
                  <pic:spPr>
                    <a:xfrm>
                      <a:off x="0" y="0"/>
                      <a:ext cx="5409618" cy="1804225"/>
                    </a:xfrm>
                    <a:prstGeom prst="rect">
                      <a:avLst/>
                    </a:prstGeom>
                  </pic:spPr>
                </pic:pic>
              </a:graphicData>
            </a:graphic>
          </wp:anchor>
        </w:drawing>
      </w:r>
    </w:p>
    <w:p>
      <w:pPr>
        <w:pStyle w:val="ListParagraph"/>
        <w:numPr>
          <w:ilvl w:val="0"/>
          <w:numId w:val="8"/>
        </w:numPr>
        <w:tabs>
          <w:tab w:pos="1128" w:val="left" w:leader="none"/>
        </w:tabs>
        <w:spacing w:line="240" w:lineRule="auto" w:before="138" w:after="0"/>
        <w:ind w:left="1127" w:right="0" w:hanging="242"/>
        <w:jc w:val="left"/>
        <w:rPr>
          <w:sz w:val="24"/>
        </w:rPr>
      </w:pPr>
      <w:r>
        <w:rPr>
          <w:sz w:val="24"/>
        </w:rPr>
        <w:t>任何先进的教学方式如果不能解决考试问题，一线教师不会真心接受；</w:t>
      </w:r>
    </w:p>
    <w:p>
      <w:pPr>
        <w:pStyle w:val="ListParagraph"/>
        <w:numPr>
          <w:ilvl w:val="0"/>
          <w:numId w:val="8"/>
        </w:numPr>
        <w:tabs>
          <w:tab w:pos="1128" w:val="left" w:leader="none"/>
        </w:tabs>
        <w:spacing w:line="240" w:lineRule="auto" w:before="158" w:after="0"/>
        <w:ind w:left="1127" w:right="0" w:hanging="242"/>
        <w:jc w:val="left"/>
        <w:rPr>
          <w:sz w:val="24"/>
        </w:rPr>
      </w:pPr>
      <w:r>
        <w:rPr>
          <w:sz w:val="24"/>
        </w:rPr>
        <w:t>一种教学方式只有作为一种教学才有功效；</w:t>
      </w:r>
    </w:p>
    <w:p>
      <w:pPr>
        <w:pStyle w:val="ListParagraph"/>
        <w:numPr>
          <w:ilvl w:val="0"/>
          <w:numId w:val="8"/>
        </w:numPr>
        <w:tabs>
          <w:tab w:pos="1199" w:val="left" w:leader="none"/>
        </w:tabs>
        <w:spacing w:line="364" w:lineRule="auto" w:before="160" w:after="0"/>
        <w:ind w:left="886" w:right="879" w:firstLine="0"/>
        <w:jc w:val="left"/>
        <w:rPr>
          <w:sz w:val="24"/>
        </w:rPr>
      </w:pPr>
      <w:r>
        <w:rPr>
          <w:spacing w:val="-1"/>
          <w:sz w:val="24"/>
        </w:rPr>
        <w:t>当“刀耕火作”依然能够收获现代考试文明时，改革往往成为“多出来”的</w:t>
      </w:r>
      <w:r>
        <w:rPr>
          <w:sz w:val="24"/>
        </w:rPr>
        <w:t>事。</w:t>
      </w:r>
    </w:p>
    <w:p>
      <w:pPr>
        <w:pStyle w:val="BodyText"/>
        <w:spacing w:line="306" w:lineRule="exact"/>
        <w:ind w:left="886"/>
      </w:pPr>
      <w:r>
        <w:rPr/>
        <w:t>（二）与名家相约</w:t>
      </w:r>
    </w:p>
    <w:p>
      <w:pPr>
        <w:pStyle w:val="BodyText"/>
        <w:spacing w:line="364" w:lineRule="auto" w:before="158"/>
        <w:ind w:left="886" w:right="2451"/>
      </w:pPr>
      <w:r>
        <w:rPr/>
        <w:t>顾润生老师说:你索性写一本关于议题式教学的书(2018</w:t>
      </w:r>
      <w:r>
        <w:rPr>
          <w:spacing w:val="-40"/>
        </w:rPr>
        <w:t> 年 </w:t>
      </w:r>
      <w:r>
        <w:rPr/>
        <w:t>4</w:t>
      </w:r>
      <w:r>
        <w:rPr>
          <w:spacing w:val="-26"/>
        </w:rPr>
        <w:t> 月) </w:t>
      </w:r>
      <w:r>
        <w:rPr/>
        <w:t>卓越课堂:我作了讲座，表了态；(2018</w:t>
      </w:r>
      <w:r>
        <w:rPr>
          <w:spacing w:val="-40"/>
        </w:rPr>
        <w:t> 年 </w:t>
      </w:r>
      <w:r>
        <w:rPr/>
        <w:t>9</w:t>
      </w:r>
      <w:r>
        <w:rPr>
          <w:spacing w:val="-20"/>
        </w:rPr>
        <w:t> 月)</w:t>
      </w:r>
    </w:p>
    <w:p>
      <w:pPr>
        <w:pStyle w:val="BodyText"/>
        <w:spacing w:before="2"/>
        <w:ind w:left="886"/>
      </w:pPr>
      <w:r>
        <w:rPr/>
        <w:t>李晓东老师说：议题式教学的行动派；</w:t>
      </w:r>
    </w:p>
    <w:p>
      <w:pPr>
        <w:pStyle w:val="BodyText"/>
        <w:spacing w:line="364" w:lineRule="auto" w:before="158"/>
        <w:ind w:left="886" w:right="3591"/>
      </w:pPr>
      <w:r>
        <w:rPr/>
        <w:t>杨伟东老师说：万紫千红准备中，一匹黑马杀出来； 王国芳老师说：教学理念的转化者。</w:t>
      </w:r>
    </w:p>
    <w:p>
      <w:pPr>
        <w:pStyle w:val="BodyText"/>
        <w:spacing w:line="306" w:lineRule="exact"/>
        <w:ind w:left="886"/>
      </w:pPr>
      <w:r>
        <w:rPr/>
        <w:t>（三）与课堂相约</w:t>
      </w:r>
    </w:p>
    <w:p>
      <w:pPr>
        <w:pStyle w:val="BodyText"/>
        <w:spacing w:before="160"/>
        <w:ind w:left="886"/>
      </w:pPr>
      <w:r>
        <w:rPr/>
        <w:t>高三复习课议中学思路。</w:t>
      </w:r>
    </w:p>
    <w:p>
      <w:pPr>
        <w:pStyle w:val="BodyText"/>
        <w:spacing w:line="364" w:lineRule="auto" w:before="158"/>
        <w:ind w:left="886" w:right="711"/>
      </w:pPr>
      <w:r>
        <w:rPr>
          <w:spacing w:val="-2"/>
        </w:rPr>
        <w:t>第一步，精选议题。梳理高考卷，结合社会发展，根据课程标准学业水平 </w:t>
      </w:r>
      <w:r>
        <w:rPr/>
        <w:t>3</w:t>
      </w:r>
      <w:r>
        <w:rPr>
          <w:spacing w:val="-26"/>
        </w:rPr>
        <w:t> 的要</w:t>
      </w:r>
      <w:r>
        <w:rPr/>
        <w:t>求。</w:t>
      </w:r>
    </w:p>
    <w:p>
      <w:pPr>
        <w:spacing w:after="0" w:line="364" w:lineRule="auto"/>
        <w:sectPr>
          <w:pgSz w:w="11900" w:h="16840"/>
          <w:pgMar w:header="0" w:footer="735" w:top="1580" w:bottom="920" w:left="700" w:right="1200"/>
        </w:sectPr>
      </w:pPr>
    </w:p>
    <w:p>
      <w:pPr>
        <w:pStyle w:val="BodyText"/>
        <w:spacing w:line="364" w:lineRule="auto" w:before="43"/>
        <w:ind w:left="886" w:right="471"/>
      </w:pPr>
      <w:r>
        <w:rPr/>
        <w:t>第二步，制作议学单，四人小组讨论提问中的关键。讨论提问中的关键词——汇合情境中的信息点——寻找情知间的关连性——形成结论。</w:t>
      </w:r>
    </w:p>
    <w:p>
      <w:pPr>
        <w:pStyle w:val="BodyText"/>
        <w:spacing w:line="364" w:lineRule="auto"/>
        <w:ind w:left="886" w:right="6471"/>
      </w:pPr>
      <w:r>
        <w:rPr/>
        <w:t>第三步，小组代表发言。第四步，教师点评。</w:t>
      </w:r>
    </w:p>
    <w:tbl>
      <w:tblPr>
        <w:tblW w:w="0" w:type="auto"/>
        <w:jc w:val="left"/>
        <w:tblInd w:w="871" w:type="dxa"/>
        <w:tblBorders>
          <w:top w:val="single" w:sz="4" w:space="0" w:color="6C6C6C"/>
          <w:left w:val="single" w:sz="4" w:space="0" w:color="6C6C6C"/>
          <w:bottom w:val="single" w:sz="4" w:space="0" w:color="6C6C6C"/>
          <w:right w:val="single" w:sz="4" w:space="0" w:color="6C6C6C"/>
          <w:insideH w:val="single" w:sz="4" w:space="0" w:color="6C6C6C"/>
          <w:insideV w:val="single" w:sz="4" w:space="0" w:color="6C6C6C"/>
        </w:tblBorders>
        <w:tblLayout w:type="fixed"/>
        <w:tblCellMar>
          <w:top w:w="0" w:type="dxa"/>
          <w:left w:w="0" w:type="dxa"/>
          <w:bottom w:w="0" w:type="dxa"/>
          <w:right w:w="0" w:type="dxa"/>
        </w:tblCellMar>
        <w:tblLook w:val="01E0"/>
      </w:tblPr>
      <w:tblGrid>
        <w:gridCol w:w="1316"/>
        <w:gridCol w:w="3491"/>
        <w:gridCol w:w="3926"/>
      </w:tblGrid>
      <w:tr>
        <w:trPr>
          <w:trHeight w:val="319" w:hRule="atLeast"/>
        </w:trPr>
        <w:tc>
          <w:tcPr>
            <w:tcW w:w="1316" w:type="dxa"/>
          </w:tcPr>
          <w:p>
            <w:pPr>
              <w:pStyle w:val="TableParagraph"/>
              <w:spacing w:line="268" w:lineRule="exact"/>
              <w:ind w:left="426" w:right="420"/>
              <w:jc w:val="center"/>
              <w:rPr>
                <w:sz w:val="21"/>
              </w:rPr>
            </w:pPr>
            <w:r>
              <w:rPr>
                <w:sz w:val="21"/>
              </w:rPr>
              <w:t>水平</w:t>
            </w:r>
          </w:p>
        </w:tc>
        <w:tc>
          <w:tcPr>
            <w:tcW w:w="3491" w:type="dxa"/>
          </w:tcPr>
          <w:p>
            <w:pPr>
              <w:pStyle w:val="TableParagraph"/>
              <w:spacing w:line="268" w:lineRule="exact"/>
              <w:ind w:left="987" w:right="981"/>
              <w:jc w:val="center"/>
              <w:rPr>
                <w:sz w:val="21"/>
              </w:rPr>
            </w:pPr>
            <w:r>
              <w:rPr>
                <w:sz w:val="21"/>
              </w:rPr>
              <w:t>情境要求</w:t>
            </w:r>
          </w:p>
        </w:tc>
        <w:tc>
          <w:tcPr>
            <w:tcW w:w="3926" w:type="dxa"/>
          </w:tcPr>
          <w:p>
            <w:pPr>
              <w:pStyle w:val="TableParagraph"/>
              <w:spacing w:line="268" w:lineRule="exact"/>
              <w:ind w:left="1100" w:right="1095"/>
              <w:jc w:val="center"/>
              <w:rPr>
                <w:sz w:val="21"/>
              </w:rPr>
            </w:pPr>
            <w:r>
              <w:rPr>
                <w:sz w:val="21"/>
              </w:rPr>
              <w:t>任务要求</w:t>
            </w:r>
          </w:p>
        </w:tc>
      </w:tr>
      <w:tr>
        <w:trPr>
          <w:trHeight w:val="276" w:hRule="atLeast"/>
        </w:trPr>
        <w:tc>
          <w:tcPr>
            <w:tcW w:w="1316" w:type="dxa"/>
          </w:tcPr>
          <w:p>
            <w:pPr>
              <w:pStyle w:val="TableParagraph"/>
              <w:spacing w:line="257" w:lineRule="exact"/>
              <w:ind w:left="10"/>
              <w:jc w:val="center"/>
              <w:rPr>
                <w:sz w:val="21"/>
              </w:rPr>
            </w:pPr>
            <w:r>
              <w:rPr>
                <w:w w:val="99"/>
                <w:sz w:val="21"/>
              </w:rPr>
              <w:t>1</w:t>
            </w:r>
          </w:p>
        </w:tc>
        <w:tc>
          <w:tcPr>
            <w:tcW w:w="3491" w:type="dxa"/>
          </w:tcPr>
          <w:p>
            <w:pPr>
              <w:pStyle w:val="TableParagraph"/>
              <w:spacing w:line="257" w:lineRule="exact"/>
              <w:ind w:left="987" w:right="981"/>
              <w:jc w:val="center"/>
              <w:rPr>
                <w:sz w:val="21"/>
              </w:rPr>
            </w:pPr>
            <w:r>
              <w:rPr>
                <w:sz w:val="21"/>
              </w:rPr>
              <w:t>简单情境</w:t>
            </w:r>
          </w:p>
        </w:tc>
        <w:tc>
          <w:tcPr>
            <w:tcW w:w="3926" w:type="dxa"/>
          </w:tcPr>
          <w:p>
            <w:pPr>
              <w:pStyle w:val="TableParagraph"/>
              <w:spacing w:line="257" w:lineRule="exact"/>
              <w:ind w:left="1100" w:right="1095"/>
              <w:jc w:val="center"/>
              <w:rPr>
                <w:sz w:val="21"/>
              </w:rPr>
            </w:pPr>
            <w:r>
              <w:rPr>
                <w:sz w:val="21"/>
              </w:rPr>
              <w:t>陈述、识别、解释</w:t>
            </w:r>
          </w:p>
        </w:tc>
      </w:tr>
      <w:tr>
        <w:trPr>
          <w:trHeight w:val="272" w:hRule="atLeast"/>
        </w:trPr>
        <w:tc>
          <w:tcPr>
            <w:tcW w:w="1316" w:type="dxa"/>
          </w:tcPr>
          <w:p>
            <w:pPr>
              <w:pStyle w:val="TableParagraph"/>
              <w:spacing w:line="252" w:lineRule="exact"/>
              <w:ind w:left="10"/>
              <w:jc w:val="center"/>
              <w:rPr>
                <w:sz w:val="21"/>
              </w:rPr>
            </w:pPr>
            <w:r>
              <w:rPr>
                <w:w w:val="99"/>
                <w:sz w:val="21"/>
              </w:rPr>
              <w:t>2</w:t>
            </w:r>
          </w:p>
        </w:tc>
        <w:tc>
          <w:tcPr>
            <w:tcW w:w="3491" w:type="dxa"/>
          </w:tcPr>
          <w:p>
            <w:pPr>
              <w:pStyle w:val="TableParagraph"/>
              <w:spacing w:line="252" w:lineRule="exact"/>
              <w:ind w:left="987" w:right="981"/>
              <w:jc w:val="center"/>
              <w:rPr>
                <w:sz w:val="21"/>
              </w:rPr>
            </w:pPr>
            <w:r>
              <w:rPr>
                <w:sz w:val="21"/>
              </w:rPr>
              <w:t>一般情境</w:t>
            </w:r>
          </w:p>
        </w:tc>
        <w:tc>
          <w:tcPr>
            <w:tcW w:w="3926" w:type="dxa"/>
          </w:tcPr>
          <w:p>
            <w:pPr>
              <w:pStyle w:val="TableParagraph"/>
              <w:spacing w:line="252" w:lineRule="exact"/>
              <w:ind w:left="1100" w:right="1095"/>
              <w:jc w:val="center"/>
              <w:rPr>
                <w:sz w:val="21"/>
              </w:rPr>
            </w:pPr>
            <w:r>
              <w:rPr>
                <w:sz w:val="21"/>
              </w:rPr>
              <w:t>解释、阐述、证实</w:t>
            </w:r>
          </w:p>
        </w:tc>
      </w:tr>
      <w:tr>
        <w:trPr>
          <w:trHeight w:val="350" w:hRule="atLeast"/>
        </w:trPr>
        <w:tc>
          <w:tcPr>
            <w:tcW w:w="1316" w:type="dxa"/>
          </w:tcPr>
          <w:p>
            <w:pPr>
              <w:pStyle w:val="TableParagraph"/>
              <w:spacing w:line="267" w:lineRule="exact"/>
              <w:ind w:left="10"/>
              <w:jc w:val="center"/>
              <w:rPr>
                <w:sz w:val="21"/>
              </w:rPr>
            </w:pPr>
            <w:r>
              <w:rPr>
                <w:w w:val="99"/>
                <w:sz w:val="21"/>
              </w:rPr>
              <w:t>3</w:t>
            </w:r>
          </w:p>
        </w:tc>
        <w:tc>
          <w:tcPr>
            <w:tcW w:w="3491" w:type="dxa"/>
          </w:tcPr>
          <w:p>
            <w:pPr>
              <w:pStyle w:val="TableParagraph"/>
              <w:spacing w:line="267" w:lineRule="exact"/>
              <w:ind w:left="987" w:right="981"/>
              <w:jc w:val="center"/>
              <w:rPr>
                <w:sz w:val="21"/>
              </w:rPr>
            </w:pPr>
            <w:r>
              <w:rPr>
                <w:sz w:val="21"/>
              </w:rPr>
              <w:t>复杂情境</w:t>
            </w:r>
          </w:p>
        </w:tc>
        <w:tc>
          <w:tcPr>
            <w:tcW w:w="3926" w:type="dxa"/>
          </w:tcPr>
          <w:p>
            <w:pPr>
              <w:pStyle w:val="TableParagraph"/>
              <w:spacing w:line="267" w:lineRule="exact"/>
              <w:ind w:left="1100" w:right="1095"/>
              <w:jc w:val="center"/>
              <w:rPr>
                <w:sz w:val="21"/>
              </w:rPr>
            </w:pPr>
            <w:r>
              <w:rPr>
                <w:sz w:val="21"/>
              </w:rPr>
              <w:t>阐释、论述、辨识</w:t>
            </w:r>
          </w:p>
        </w:tc>
      </w:tr>
      <w:tr>
        <w:trPr>
          <w:trHeight w:val="272" w:hRule="atLeast"/>
        </w:trPr>
        <w:tc>
          <w:tcPr>
            <w:tcW w:w="1316" w:type="dxa"/>
          </w:tcPr>
          <w:p>
            <w:pPr>
              <w:pStyle w:val="TableParagraph"/>
              <w:spacing w:line="252" w:lineRule="exact"/>
              <w:ind w:left="10"/>
              <w:jc w:val="center"/>
              <w:rPr>
                <w:sz w:val="21"/>
              </w:rPr>
            </w:pPr>
            <w:r>
              <w:rPr>
                <w:w w:val="99"/>
                <w:sz w:val="21"/>
              </w:rPr>
              <w:t>4</w:t>
            </w:r>
          </w:p>
        </w:tc>
        <w:tc>
          <w:tcPr>
            <w:tcW w:w="3491" w:type="dxa"/>
          </w:tcPr>
          <w:p>
            <w:pPr>
              <w:pStyle w:val="TableParagraph"/>
              <w:spacing w:line="252" w:lineRule="exact"/>
              <w:ind w:left="990" w:right="981"/>
              <w:jc w:val="center"/>
              <w:rPr>
                <w:sz w:val="21"/>
              </w:rPr>
            </w:pPr>
            <w:r>
              <w:rPr>
                <w:sz w:val="21"/>
              </w:rPr>
              <w:t>挑战性复杂情境</w:t>
            </w:r>
          </w:p>
        </w:tc>
        <w:tc>
          <w:tcPr>
            <w:tcW w:w="3926" w:type="dxa"/>
          </w:tcPr>
          <w:p>
            <w:pPr>
              <w:pStyle w:val="TableParagraph"/>
              <w:spacing w:line="252" w:lineRule="exact"/>
              <w:ind w:left="1100" w:right="1095"/>
              <w:jc w:val="center"/>
              <w:rPr>
                <w:sz w:val="21"/>
              </w:rPr>
            </w:pPr>
            <w:r>
              <w:rPr>
                <w:sz w:val="21"/>
              </w:rPr>
              <w:t>回应、阐明、辨析</w:t>
            </w:r>
          </w:p>
        </w:tc>
      </w:tr>
    </w:tbl>
    <w:p>
      <w:pPr>
        <w:pStyle w:val="BodyText"/>
      </w:pPr>
    </w:p>
    <w:p>
      <w:pPr>
        <w:pStyle w:val="BodyText"/>
        <w:spacing w:before="159"/>
        <w:ind w:left="886"/>
      </w:pPr>
      <w:r>
        <w:rPr/>
        <w:t>议题：我国人民如何当家作主?</w:t>
      </w:r>
    </w:p>
    <w:p>
      <w:pPr>
        <w:pStyle w:val="BodyText"/>
        <w:spacing w:before="158"/>
        <w:ind w:left="886"/>
      </w:pPr>
      <w:r>
        <w:rPr/>
        <w:t>[议题描述]创设听证会情境，梳理教材主干知识</w:t>
      </w:r>
    </w:p>
    <w:p>
      <w:pPr>
        <w:pStyle w:val="BodyText"/>
        <w:spacing w:line="362" w:lineRule="auto" w:before="160"/>
        <w:ind w:left="886" w:right="471"/>
      </w:pPr>
      <w:r>
        <w:rPr/>
        <w:t>子议题:情境反映了我国人民当家作主的哪些途径?知识点之间存在怎样的逻辑关系呢?</w:t>
      </w:r>
    </w:p>
    <w:p>
      <w:pPr>
        <w:pStyle w:val="BodyText"/>
        <w:spacing w:before="5"/>
        <w:rPr>
          <w:sz w:val="8"/>
        </w:rPr>
      </w:pPr>
      <w:r>
        <w:rPr/>
        <w:drawing>
          <wp:anchor distT="0" distB="0" distL="0" distR="0" allowOverlap="1" layoutInCell="1" locked="0" behindDoc="0" simplePos="0" relativeHeight="33">
            <wp:simplePos x="0" y="0"/>
            <wp:positionH relativeFrom="page">
              <wp:posOffset>1151996</wp:posOffset>
            </wp:positionH>
            <wp:positionV relativeFrom="paragraph">
              <wp:posOffset>93453</wp:posOffset>
            </wp:positionV>
            <wp:extent cx="5027693" cy="1062132"/>
            <wp:effectExtent l="0" t="0" r="0" b="0"/>
            <wp:wrapTopAndBottom/>
            <wp:docPr id="61" name="image36.jpeg"/>
            <wp:cNvGraphicFramePr>
              <a:graphicFrameLocks noChangeAspect="1"/>
            </wp:cNvGraphicFramePr>
            <a:graphic>
              <a:graphicData uri="http://schemas.openxmlformats.org/drawingml/2006/picture">
                <pic:pic>
                  <pic:nvPicPr>
                    <pic:cNvPr id="62" name="image36.jpeg"/>
                    <pic:cNvPicPr/>
                  </pic:nvPicPr>
                  <pic:blipFill>
                    <a:blip r:embed="rId46" cstate="print"/>
                    <a:stretch>
                      <a:fillRect/>
                    </a:stretch>
                  </pic:blipFill>
                  <pic:spPr>
                    <a:xfrm>
                      <a:off x="0" y="0"/>
                      <a:ext cx="5027693" cy="1062132"/>
                    </a:xfrm>
                    <a:prstGeom prst="rect">
                      <a:avLst/>
                    </a:prstGeom>
                  </pic:spPr>
                </pic:pic>
              </a:graphicData>
            </a:graphic>
          </wp:anchor>
        </w:drawing>
      </w:r>
    </w:p>
    <w:p>
      <w:pPr>
        <w:pStyle w:val="BodyText"/>
        <w:spacing w:line="362" w:lineRule="auto" w:before="204"/>
        <w:ind w:left="886" w:right="4071"/>
      </w:pPr>
      <w:r>
        <w:rPr/>
        <w:t>[议题论证]借助听证会情境，应用教材主干知识子议题:听证会为什么要做出一些列规定?。</w:t>
      </w:r>
    </w:p>
    <w:p>
      <w:pPr>
        <w:pStyle w:val="BodyText"/>
        <w:spacing w:before="2"/>
        <w:ind w:left="886"/>
      </w:pPr>
      <w:r>
        <w:rPr/>
        <w:t>学生以四人小组方式讨论，代表发言，教师点评。</w:t>
      </w:r>
    </w:p>
    <w:p>
      <w:pPr>
        <w:pStyle w:val="BodyText"/>
        <w:spacing w:before="5"/>
        <w:rPr>
          <w:sz w:val="9"/>
        </w:rPr>
      </w:pPr>
      <w:r>
        <w:rPr/>
        <w:drawing>
          <wp:anchor distT="0" distB="0" distL="0" distR="0" allowOverlap="1" layoutInCell="1" locked="0" behindDoc="0" simplePos="0" relativeHeight="34">
            <wp:simplePos x="0" y="0"/>
            <wp:positionH relativeFrom="page">
              <wp:posOffset>1007363</wp:posOffset>
            </wp:positionH>
            <wp:positionV relativeFrom="paragraph">
              <wp:posOffset>101523</wp:posOffset>
            </wp:positionV>
            <wp:extent cx="5548251" cy="1373314"/>
            <wp:effectExtent l="0" t="0" r="0" b="0"/>
            <wp:wrapTopAndBottom/>
            <wp:docPr id="63" name="image37.jpeg"/>
            <wp:cNvGraphicFramePr>
              <a:graphicFrameLocks noChangeAspect="1"/>
            </wp:cNvGraphicFramePr>
            <a:graphic>
              <a:graphicData uri="http://schemas.openxmlformats.org/drawingml/2006/picture">
                <pic:pic>
                  <pic:nvPicPr>
                    <pic:cNvPr id="64" name="image37.jpeg"/>
                    <pic:cNvPicPr/>
                  </pic:nvPicPr>
                  <pic:blipFill>
                    <a:blip r:embed="rId47" cstate="print"/>
                    <a:stretch>
                      <a:fillRect/>
                    </a:stretch>
                  </pic:blipFill>
                  <pic:spPr>
                    <a:xfrm>
                      <a:off x="0" y="0"/>
                      <a:ext cx="5548251" cy="1373314"/>
                    </a:xfrm>
                    <a:prstGeom prst="rect">
                      <a:avLst/>
                    </a:prstGeom>
                  </pic:spPr>
                </pic:pic>
              </a:graphicData>
            </a:graphic>
          </wp:anchor>
        </w:drawing>
      </w:r>
    </w:p>
    <w:p>
      <w:pPr>
        <w:pStyle w:val="BodyText"/>
        <w:spacing w:line="362" w:lineRule="auto" w:before="125"/>
        <w:ind w:left="886" w:right="3831"/>
      </w:pPr>
      <w:r>
        <w:rPr/>
        <w:t>【议题决策】借助正会情境，成用教材主干知识。子议题:</w:t>
      </w:r>
    </w:p>
    <w:p>
      <w:pPr>
        <w:pStyle w:val="BodyText"/>
        <w:spacing w:before="5"/>
        <w:ind w:left="886"/>
      </w:pPr>
      <w:r>
        <w:rPr/>
        <w:t>①如果你是组织者，你会邀请哪些人员参加会议？</w:t>
      </w:r>
    </w:p>
    <w:p>
      <w:pPr>
        <w:pStyle w:val="BodyText"/>
        <w:spacing w:before="160"/>
        <w:ind w:left="886"/>
      </w:pPr>
      <w:r>
        <w:rPr/>
        <w:t>②如果你是听证会的主持人，你会在听证会的流程中特别注意哪些环节?</w:t>
      </w:r>
    </w:p>
    <w:p>
      <w:pPr>
        <w:pStyle w:val="BodyText"/>
        <w:spacing w:before="159"/>
        <w:ind w:left="886"/>
      </w:pPr>
      <w:r>
        <w:rPr/>
        <w:t>③如果你是听证会的参加者，你觉得应该遵守哪些原则?</w:t>
      </w:r>
    </w:p>
    <w:p>
      <w:pPr>
        <w:spacing w:after="0"/>
        <w:sectPr>
          <w:pgSz w:w="11900" w:h="16840"/>
          <w:pgMar w:header="0" w:footer="735" w:top="1380" w:bottom="920" w:left="700" w:right="1200"/>
        </w:sectPr>
      </w:pPr>
    </w:p>
    <w:p>
      <w:pPr>
        <w:pStyle w:val="BodyText"/>
        <w:spacing w:before="43"/>
        <w:ind w:left="886"/>
      </w:pPr>
      <w:r>
        <w:rPr/>
        <w:t>【议学延伸】面向听证会真实情境，迁移教材主干知识。</w:t>
      </w:r>
    </w:p>
    <w:p>
      <w:pPr>
        <w:pStyle w:val="BodyText"/>
        <w:spacing w:line="362" w:lineRule="auto" w:before="160"/>
        <w:ind w:left="886" w:right="831"/>
      </w:pPr>
      <w:r>
        <w:rPr/>
        <w:t>子议题:社区听证会前，若居委会向你征集意见或建议，你会提出怎样的议题？ 学生课外讨论，上交讨论结果。</w:t>
      </w:r>
    </w:p>
    <w:p>
      <w:pPr>
        <w:pStyle w:val="BodyText"/>
        <w:spacing w:before="5"/>
        <w:ind w:left="886"/>
      </w:pPr>
      <w:r>
        <w:rPr/>
        <w:t>每个议学活动都以学生四人小组的方式进行，代表发言，教师点评。</w:t>
      </w:r>
    </w:p>
    <w:p>
      <w:pPr>
        <w:pStyle w:val="BodyText"/>
        <w:spacing w:line="364" w:lineRule="auto" w:before="158"/>
        <w:ind w:left="886" w:right="4551"/>
        <w:rPr>
          <w:rFonts w:ascii="黑体" w:eastAsia="黑体" w:hint="eastAsia"/>
        </w:rPr>
      </w:pPr>
      <w:r>
        <w:rPr>
          <w:rFonts w:ascii="黑体" w:eastAsia="黑体" w:hint="eastAsia"/>
        </w:rPr>
        <w:t>二、相约之因：寻找议题式教学的可行之据(一)新课程标准的方向指引</w:t>
      </w:r>
    </w:p>
    <w:p>
      <w:pPr>
        <w:pStyle w:val="BodyText"/>
        <w:spacing w:line="306" w:lineRule="exact"/>
        <w:ind w:left="886"/>
      </w:pPr>
      <w:r>
        <w:rPr/>
        <w:t>围绕议题进行教学</w:t>
      </w:r>
    </w:p>
    <w:p>
      <w:pPr>
        <w:pStyle w:val="BodyText"/>
        <w:spacing w:line="364" w:lineRule="auto" w:before="161"/>
        <w:ind w:left="886" w:right="471"/>
      </w:pPr>
      <w:r>
        <w:rPr/>
        <w:t>议题“既包含学科课程的具体内容，又展示价值判断的基本观点；既具有开放性、引领性，又体现教学重点、针对学习难点。”</w:t>
      </w:r>
    </w:p>
    <w:p>
      <w:pPr>
        <w:pStyle w:val="BodyText"/>
        <w:spacing w:line="306" w:lineRule="exact"/>
        <w:ind w:left="886"/>
      </w:pPr>
      <w:r>
        <w:rPr/>
        <w:t>必修模块的 34 个议题，选择性必修模块的 2 个议题(其中一个是辩题)，以及具有</w:t>
      </w:r>
    </w:p>
    <w:p>
      <w:pPr>
        <w:pStyle w:val="BodyText"/>
        <w:spacing w:line="364" w:lineRule="auto" w:before="158"/>
        <w:ind w:left="886" w:right="6231"/>
      </w:pPr>
      <w:r>
        <w:rPr>
          <w:spacing w:val="-8"/>
        </w:rPr>
        <w:t>综合实践性质的 </w:t>
      </w:r>
      <w:r>
        <w:rPr/>
        <w:t>4</w:t>
      </w:r>
      <w:r>
        <w:rPr>
          <w:spacing w:val="-16"/>
        </w:rPr>
        <w:t> 个议题。</w:t>
      </w:r>
      <w:r>
        <w:rPr>
          <w:spacing w:val="-2"/>
        </w:rPr>
        <w:t>(二)学习金字塔理论的支撑</w:t>
      </w:r>
    </w:p>
    <w:p>
      <w:pPr>
        <w:pStyle w:val="BodyText"/>
        <w:ind w:left="886"/>
        <w:rPr>
          <w:sz w:val="20"/>
        </w:rPr>
      </w:pPr>
      <w:r>
        <w:rPr>
          <w:sz w:val="20"/>
        </w:rPr>
        <w:drawing>
          <wp:inline distT="0" distB="0" distL="0" distR="0">
            <wp:extent cx="5646055" cy="1999868"/>
            <wp:effectExtent l="0" t="0" r="0" b="0"/>
            <wp:docPr id="65" name="image38.jpeg"/>
            <wp:cNvGraphicFramePr>
              <a:graphicFrameLocks noChangeAspect="1"/>
            </wp:cNvGraphicFramePr>
            <a:graphic>
              <a:graphicData uri="http://schemas.openxmlformats.org/drawingml/2006/picture">
                <pic:pic>
                  <pic:nvPicPr>
                    <pic:cNvPr id="66" name="image38.jpeg"/>
                    <pic:cNvPicPr/>
                  </pic:nvPicPr>
                  <pic:blipFill>
                    <a:blip r:embed="rId48" cstate="print"/>
                    <a:stretch>
                      <a:fillRect/>
                    </a:stretch>
                  </pic:blipFill>
                  <pic:spPr>
                    <a:xfrm>
                      <a:off x="0" y="0"/>
                      <a:ext cx="5646055" cy="1999868"/>
                    </a:xfrm>
                    <a:prstGeom prst="rect">
                      <a:avLst/>
                    </a:prstGeom>
                  </pic:spPr>
                </pic:pic>
              </a:graphicData>
            </a:graphic>
          </wp:inline>
        </w:drawing>
      </w:r>
      <w:r>
        <w:rPr>
          <w:sz w:val="20"/>
        </w:rPr>
      </w:r>
    </w:p>
    <w:p>
      <w:pPr>
        <w:pStyle w:val="BodyText"/>
        <w:spacing w:before="156"/>
        <w:ind w:left="886"/>
      </w:pPr>
      <w:r>
        <w:rPr/>
        <w:t>(三)建构主义理论的应用</w:t>
      </w:r>
    </w:p>
    <w:p>
      <w:pPr>
        <w:pStyle w:val="BodyText"/>
        <w:spacing w:line="362" w:lineRule="auto" w:before="160" w:after="2"/>
        <w:ind w:left="886" w:right="471" w:firstLine="480"/>
      </w:pPr>
      <w:r>
        <w:rPr/>
        <w:t>建构主义认为，学习者对外部的理解是通过自己积极主动的选择、加工与建构的结果，而不是被动地接受别人呈现给他们的东西。</w:t>
      </w:r>
    </w:p>
    <w:p>
      <w:pPr>
        <w:pStyle w:val="BodyText"/>
        <w:ind w:left="886"/>
        <w:rPr>
          <w:sz w:val="20"/>
        </w:rPr>
      </w:pPr>
      <w:r>
        <w:rPr>
          <w:sz w:val="20"/>
        </w:rPr>
        <w:drawing>
          <wp:inline distT="0" distB="0" distL="0" distR="0">
            <wp:extent cx="5517819" cy="1879663"/>
            <wp:effectExtent l="0" t="0" r="0" b="0"/>
            <wp:docPr id="67" name="image39.jpeg"/>
            <wp:cNvGraphicFramePr>
              <a:graphicFrameLocks noChangeAspect="1"/>
            </wp:cNvGraphicFramePr>
            <a:graphic>
              <a:graphicData uri="http://schemas.openxmlformats.org/drawingml/2006/picture">
                <pic:pic>
                  <pic:nvPicPr>
                    <pic:cNvPr id="68" name="image39.jpeg"/>
                    <pic:cNvPicPr/>
                  </pic:nvPicPr>
                  <pic:blipFill>
                    <a:blip r:embed="rId49" cstate="print"/>
                    <a:stretch>
                      <a:fillRect/>
                    </a:stretch>
                  </pic:blipFill>
                  <pic:spPr>
                    <a:xfrm>
                      <a:off x="0" y="0"/>
                      <a:ext cx="5517819" cy="1879663"/>
                    </a:xfrm>
                    <a:prstGeom prst="rect">
                      <a:avLst/>
                    </a:prstGeom>
                  </pic:spPr>
                </pic:pic>
              </a:graphicData>
            </a:graphic>
          </wp:inline>
        </w:drawing>
      </w:r>
      <w:r>
        <w:rPr>
          <w:sz w:val="20"/>
        </w:rPr>
      </w:r>
    </w:p>
    <w:sectPr>
      <w:pgSz w:w="11900" w:h="16840"/>
      <w:pgMar w:header="0" w:footer="735" w:top="1380" w:bottom="920" w:left="700" w:right="12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微软雅黑">
    <w:altName w:val="微软雅黑"/>
    <w:charset w:val="86"/>
    <w:family w:val="swiss"/>
    <w:pitch w:val="variable"/>
  </w:font>
  <w:font w:name="黑体">
    <w:altName w:val="黑体"/>
    <w:charset w:val="86"/>
    <w:family w:val="modern"/>
    <w:pitch w:val="fixed"/>
  </w:font>
  <w:font w:name="宋体">
    <w:altName w:val="宋体"/>
    <w:charset w:val="86"/>
    <w:family w:val="auto"/>
    <w:pitch w:val="variable"/>
  </w:font>
  <w:font w:name="Arial">
    <w:altName w:val="Arial"/>
    <w:charset w:val="0"/>
    <w:family w:val="swiss"/>
    <w:pitch w:val="variable"/>
  </w:font>
  <w:font w:name="楷体">
    <w:altName w:val="楷体"/>
    <w:charset w:val="86"/>
    <w:family w:val="modern"/>
    <w:pitch w:val="fixed"/>
  </w:font>
  <w:font w:name="Calibri">
    <w:altName w:val="Calibri"/>
    <w:charset w:val="0"/>
    <w:family w:val="swiss"/>
    <w:pitch w:val="variable"/>
  </w:font>
  <w:font w:name="Candara">
    <w:altName w:val="Candara"/>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7.440002pt;margin-top:794.156677pt;width:22pt;height:15.3pt;mso-position-horizontal-relative:page;mso-position-vertical-relative:page;z-index:-252882944" type="#_x0000_t202" filled="false" stroked="false">
          <v:textbox inset="0,0,0,0">
            <w:txbxContent>
              <w:p>
                <w:pPr>
                  <w:pStyle w:val="BodyText"/>
                  <w:spacing w:before="10"/>
                  <w:ind w:left="20"/>
                  <w:rPr>
                    <w:rFonts w:ascii="Times New Roman"/>
                  </w:rPr>
                </w:pPr>
                <w:r>
                  <w:rPr>
                    <w:rFonts w:ascii="Times New Roman"/>
                  </w:rPr>
                  <w:t>- </w:t>
                </w:r>
                <w:r>
                  <w:rPr/>
                  <w:fldChar w:fldCharType="begin"/>
                </w:r>
                <w:r>
                  <w:rPr>
                    <w:rFonts w:ascii="Times New Roman"/>
                  </w:rPr>
                  <w:instrText> PAGE </w:instrText>
                </w:r>
                <w:r>
                  <w:rPr/>
                  <w:fldChar w:fldCharType="separate"/>
                </w:r>
                <w:r>
                  <w:rPr/>
                  <w:t>3</w:t>
                </w:r>
                <w:r>
                  <w:rPr/>
                  <w:fldChar w:fldCharType="end"/>
                </w:r>
                <w:r>
                  <w:rPr>
                    <w:rFonts w:ascii="Times New Roman"/>
                  </w:rPr>
                  <w:t> -</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9"/>
      </w:rPr>
    </w:pPr>
    <w:r>
      <w:rPr/>
      <w:pict>
        <v:shape style="position:absolute;margin-left:267.440002pt;margin-top:794.156677pt;width:28pt;height:15.3pt;mso-position-horizontal-relative:page;mso-position-vertical-relative:page;z-index:-252881920" type="#_x0000_t202" filled="false" stroked="false">
          <v:textbox inset="0,0,0,0">
            <w:txbxContent>
              <w:p>
                <w:pPr>
                  <w:pStyle w:val="BodyText"/>
                  <w:spacing w:before="10"/>
                  <w:ind w:left="20"/>
                  <w:rPr>
                    <w:rFonts w:ascii="Times New Roman"/>
                  </w:rPr>
                </w:pPr>
                <w:r>
                  <w:rPr>
                    <w:rFonts w:ascii="Times New Roman"/>
                  </w:rPr>
                  <w:t>- </w:t>
                </w:r>
                <w:r>
                  <w:rPr/>
                  <w:fldChar w:fldCharType="begin"/>
                </w:r>
                <w:r>
                  <w:rPr>
                    <w:rFonts w:ascii="Times New Roman"/>
                  </w:rPr>
                  <w:instrText> PAGE </w:instrText>
                </w:r>
                <w:r>
                  <w:rPr/>
                  <w:fldChar w:fldCharType="separate"/>
                </w:r>
                <w:r>
                  <w:rPr/>
                  <w:t>15</w:t>
                </w:r>
                <w:r>
                  <w:rPr/>
                  <w:fldChar w:fldCharType="end"/>
                </w:r>
                <w:r>
                  <w:rPr>
                    <w:rFonts w:ascii="Times New Roman"/>
                  </w:rPr>
                  <w:t> -</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5.839996pt;margin-top:794.156677pt;width:28pt;height:15.3pt;mso-position-horizontal-relative:page;mso-position-vertical-relative:page;z-index:-252880896" type="#_x0000_t202" filled="false" stroked="false">
          <v:textbox inset="0,0,0,0">
            <w:txbxContent>
              <w:p>
                <w:pPr>
                  <w:pStyle w:val="BodyText"/>
                  <w:spacing w:before="10"/>
                  <w:ind w:left="20"/>
                  <w:rPr>
                    <w:rFonts w:ascii="Times New Roman"/>
                  </w:rPr>
                </w:pPr>
                <w:r>
                  <w:rPr>
                    <w:rFonts w:ascii="Times New Roman"/>
                  </w:rPr>
                  <w:t>- </w:t>
                </w:r>
                <w:r>
                  <w:rPr/>
                  <w:fldChar w:fldCharType="begin"/>
                </w:r>
                <w:r>
                  <w:rPr>
                    <w:rFonts w:ascii="Times New Roman"/>
                  </w:rPr>
                  <w:instrText> PAGE </w:instrText>
                </w:r>
                <w:r>
                  <w:rPr/>
                  <w:fldChar w:fldCharType="separate"/>
                </w:r>
                <w:r>
                  <w:rPr/>
                  <w:t>20</w:t>
                </w:r>
                <w:r>
                  <w:rPr/>
                  <w:fldChar w:fldCharType="end"/>
                </w:r>
                <w:r>
                  <w:rPr>
                    <w:rFonts w:ascii="Times New Roman"/>
                  </w:rPr>
                  <w:t> -</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5.839996pt;margin-top:794.156677pt;width:28pt;height:15.3pt;mso-position-horizontal-relative:page;mso-position-vertical-relative:page;z-index:-252879872" type="#_x0000_t202" filled="false" stroked="false">
          <v:textbox inset="0,0,0,0">
            <w:txbxContent>
              <w:p>
                <w:pPr>
                  <w:pStyle w:val="BodyText"/>
                  <w:spacing w:before="10"/>
                  <w:ind w:left="20"/>
                  <w:rPr>
                    <w:rFonts w:ascii="Times New Roman"/>
                  </w:rPr>
                </w:pPr>
                <w:r>
                  <w:rPr>
                    <w:rFonts w:ascii="Times New Roman"/>
                  </w:rPr>
                  <w:t>- </w:t>
                </w:r>
                <w:r>
                  <w:rPr/>
                  <w:fldChar w:fldCharType="begin"/>
                </w:r>
                <w:r>
                  <w:rPr>
                    <w:rFonts w:ascii="Times New Roman"/>
                  </w:rPr>
                  <w:instrText> PAGE </w:instrText>
                </w:r>
                <w:r>
                  <w:rPr/>
                  <w:fldChar w:fldCharType="separate"/>
                </w:r>
                <w:r>
                  <w:rPr/>
                  <w:t>30</w:t>
                </w:r>
                <w:r>
                  <w:rPr/>
                  <w:fldChar w:fldCharType="end"/>
                </w:r>
                <w:r>
                  <w:rPr>
                    <w:rFonts w:ascii="Times New Roman"/>
                  </w:rPr>
                  <w:t> -</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5.839996pt;margin-top:794.156677pt;width:28pt;height:15.3pt;mso-position-horizontal-relative:page;mso-position-vertical-relative:page;z-index:-252878848" type="#_x0000_t202" filled="false" stroked="false">
          <v:textbox inset="0,0,0,0">
            <w:txbxContent>
              <w:p>
                <w:pPr>
                  <w:pStyle w:val="BodyText"/>
                  <w:spacing w:before="10"/>
                  <w:ind w:left="20"/>
                  <w:rPr>
                    <w:rFonts w:ascii="Times New Roman"/>
                  </w:rPr>
                </w:pPr>
                <w:r>
                  <w:rPr>
                    <w:rFonts w:ascii="Times New Roman"/>
                  </w:rPr>
                  <w:t>- </w:t>
                </w:r>
                <w:r>
                  <w:rPr/>
                  <w:fldChar w:fldCharType="begin"/>
                </w:r>
                <w:r>
                  <w:rPr>
                    <w:rFonts w:ascii="Times New Roman"/>
                  </w:rPr>
                  <w:instrText> PAGE </w:instrText>
                </w:r>
                <w:r>
                  <w:rPr/>
                  <w:fldChar w:fldCharType="separate"/>
                </w:r>
                <w:r>
                  <w:rPr/>
                  <w:t>40</w:t>
                </w:r>
                <w:r>
                  <w:rPr/>
                  <w:fldChar w:fldCharType="end"/>
                </w:r>
                <w:r>
                  <w:rPr>
                    <w:rFonts w:ascii="Times New Roman"/>
                  </w:rPr>
                  <w:t> -</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1"/>
      <w:numFmt w:val="decimal"/>
      <w:lvlText w:val="%1."/>
      <w:lvlJc w:val="left"/>
      <w:pPr>
        <w:ind w:left="1127" w:hanging="241"/>
        <w:jc w:val="left"/>
      </w:pPr>
      <w:rPr>
        <w:rFonts w:hint="default" w:ascii="宋体" w:hAnsi="宋体" w:eastAsia="宋体" w:cs="宋体"/>
        <w:w w:val="100"/>
        <w:sz w:val="22"/>
        <w:szCs w:val="22"/>
        <w:lang w:val="zh-CN" w:eastAsia="zh-CN" w:bidi="zh-CN"/>
      </w:rPr>
    </w:lvl>
    <w:lvl w:ilvl="1">
      <w:start w:val="0"/>
      <w:numFmt w:val="bullet"/>
      <w:lvlText w:val="•"/>
      <w:lvlJc w:val="left"/>
      <w:pPr>
        <w:ind w:left="2008" w:hanging="241"/>
      </w:pPr>
      <w:rPr>
        <w:rFonts w:hint="default"/>
        <w:lang w:val="zh-CN" w:eastAsia="zh-CN" w:bidi="zh-CN"/>
      </w:rPr>
    </w:lvl>
    <w:lvl w:ilvl="2">
      <w:start w:val="0"/>
      <w:numFmt w:val="bullet"/>
      <w:lvlText w:val="•"/>
      <w:lvlJc w:val="left"/>
      <w:pPr>
        <w:ind w:left="2896" w:hanging="241"/>
      </w:pPr>
      <w:rPr>
        <w:rFonts w:hint="default"/>
        <w:lang w:val="zh-CN" w:eastAsia="zh-CN" w:bidi="zh-CN"/>
      </w:rPr>
    </w:lvl>
    <w:lvl w:ilvl="3">
      <w:start w:val="0"/>
      <w:numFmt w:val="bullet"/>
      <w:lvlText w:val="•"/>
      <w:lvlJc w:val="left"/>
      <w:pPr>
        <w:ind w:left="3784" w:hanging="241"/>
      </w:pPr>
      <w:rPr>
        <w:rFonts w:hint="default"/>
        <w:lang w:val="zh-CN" w:eastAsia="zh-CN" w:bidi="zh-CN"/>
      </w:rPr>
    </w:lvl>
    <w:lvl w:ilvl="4">
      <w:start w:val="0"/>
      <w:numFmt w:val="bullet"/>
      <w:lvlText w:val="•"/>
      <w:lvlJc w:val="left"/>
      <w:pPr>
        <w:ind w:left="4672" w:hanging="241"/>
      </w:pPr>
      <w:rPr>
        <w:rFonts w:hint="default"/>
        <w:lang w:val="zh-CN" w:eastAsia="zh-CN" w:bidi="zh-CN"/>
      </w:rPr>
    </w:lvl>
    <w:lvl w:ilvl="5">
      <w:start w:val="0"/>
      <w:numFmt w:val="bullet"/>
      <w:lvlText w:val="•"/>
      <w:lvlJc w:val="left"/>
      <w:pPr>
        <w:ind w:left="5560" w:hanging="241"/>
      </w:pPr>
      <w:rPr>
        <w:rFonts w:hint="default"/>
        <w:lang w:val="zh-CN" w:eastAsia="zh-CN" w:bidi="zh-CN"/>
      </w:rPr>
    </w:lvl>
    <w:lvl w:ilvl="6">
      <w:start w:val="0"/>
      <w:numFmt w:val="bullet"/>
      <w:lvlText w:val="•"/>
      <w:lvlJc w:val="left"/>
      <w:pPr>
        <w:ind w:left="6448" w:hanging="241"/>
      </w:pPr>
      <w:rPr>
        <w:rFonts w:hint="default"/>
        <w:lang w:val="zh-CN" w:eastAsia="zh-CN" w:bidi="zh-CN"/>
      </w:rPr>
    </w:lvl>
    <w:lvl w:ilvl="7">
      <w:start w:val="0"/>
      <w:numFmt w:val="bullet"/>
      <w:lvlText w:val="•"/>
      <w:lvlJc w:val="left"/>
      <w:pPr>
        <w:ind w:left="7336" w:hanging="241"/>
      </w:pPr>
      <w:rPr>
        <w:rFonts w:hint="default"/>
        <w:lang w:val="zh-CN" w:eastAsia="zh-CN" w:bidi="zh-CN"/>
      </w:rPr>
    </w:lvl>
    <w:lvl w:ilvl="8">
      <w:start w:val="0"/>
      <w:numFmt w:val="bullet"/>
      <w:lvlText w:val="•"/>
      <w:lvlJc w:val="left"/>
      <w:pPr>
        <w:ind w:left="8224" w:hanging="241"/>
      </w:pPr>
      <w:rPr>
        <w:rFonts w:hint="default"/>
        <w:lang w:val="zh-CN" w:eastAsia="zh-CN" w:bidi="zh-CN"/>
      </w:rPr>
    </w:lvl>
  </w:abstractNum>
  <w:abstractNum w:abstractNumId="6">
    <w:multiLevelType w:val="hybridMultilevel"/>
    <w:lvl w:ilvl="0">
      <w:start w:val="0"/>
      <w:numFmt w:val="bullet"/>
      <w:lvlText w:val="●"/>
      <w:lvlJc w:val="left"/>
      <w:pPr>
        <w:ind w:left="201" w:hanging="135"/>
      </w:pPr>
      <w:rPr>
        <w:rFonts w:hint="default" w:ascii="Times New Roman" w:hAnsi="Times New Roman" w:eastAsia="Times New Roman" w:cs="Times New Roman"/>
        <w:spacing w:val="-2"/>
        <w:w w:val="100"/>
        <w:sz w:val="20"/>
        <w:szCs w:val="20"/>
        <w:lang w:val="zh-CN" w:eastAsia="zh-CN" w:bidi="zh-CN"/>
      </w:rPr>
    </w:lvl>
    <w:lvl w:ilvl="1">
      <w:start w:val="0"/>
      <w:numFmt w:val="bullet"/>
      <w:lvlText w:val="•"/>
      <w:lvlJc w:val="left"/>
      <w:pPr>
        <w:ind w:left="898" w:hanging="135"/>
      </w:pPr>
      <w:rPr>
        <w:rFonts w:hint="default"/>
        <w:lang w:val="zh-CN" w:eastAsia="zh-CN" w:bidi="zh-CN"/>
      </w:rPr>
    </w:lvl>
    <w:lvl w:ilvl="2">
      <w:start w:val="0"/>
      <w:numFmt w:val="bullet"/>
      <w:lvlText w:val="•"/>
      <w:lvlJc w:val="left"/>
      <w:pPr>
        <w:ind w:left="1596" w:hanging="135"/>
      </w:pPr>
      <w:rPr>
        <w:rFonts w:hint="default"/>
        <w:lang w:val="zh-CN" w:eastAsia="zh-CN" w:bidi="zh-CN"/>
      </w:rPr>
    </w:lvl>
    <w:lvl w:ilvl="3">
      <w:start w:val="0"/>
      <w:numFmt w:val="bullet"/>
      <w:lvlText w:val="•"/>
      <w:lvlJc w:val="left"/>
      <w:pPr>
        <w:ind w:left="2295" w:hanging="135"/>
      </w:pPr>
      <w:rPr>
        <w:rFonts w:hint="default"/>
        <w:lang w:val="zh-CN" w:eastAsia="zh-CN" w:bidi="zh-CN"/>
      </w:rPr>
    </w:lvl>
    <w:lvl w:ilvl="4">
      <w:start w:val="0"/>
      <w:numFmt w:val="bullet"/>
      <w:lvlText w:val="•"/>
      <w:lvlJc w:val="left"/>
      <w:pPr>
        <w:ind w:left="2993" w:hanging="135"/>
      </w:pPr>
      <w:rPr>
        <w:rFonts w:hint="default"/>
        <w:lang w:val="zh-CN" w:eastAsia="zh-CN" w:bidi="zh-CN"/>
      </w:rPr>
    </w:lvl>
    <w:lvl w:ilvl="5">
      <w:start w:val="0"/>
      <w:numFmt w:val="bullet"/>
      <w:lvlText w:val="•"/>
      <w:lvlJc w:val="left"/>
      <w:pPr>
        <w:ind w:left="3692" w:hanging="135"/>
      </w:pPr>
      <w:rPr>
        <w:rFonts w:hint="default"/>
        <w:lang w:val="zh-CN" w:eastAsia="zh-CN" w:bidi="zh-CN"/>
      </w:rPr>
    </w:lvl>
    <w:lvl w:ilvl="6">
      <w:start w:val="0"/>
      <w:numFmt w:val="bullet"/>
      <w:lvlText w:val="•"/>
      <w:lvlJc w:val="left"/>
      <w:pPr>
        <w:ind w:left="4390" w:hanging="135"/>
      </w:pPr>
      <w:rPr>
        <w:rFonts w:hint="default"/>
        <w:lang w:val="zh-CN" w:eastAsia="zh-CN" w:bidi="zh-CN"/>
      </w:rPr>
    </w:lvl>
    <w:lvl w:ilvl="7">
      <w:start w:val="0"/>
      <w:numFmt w:val="bullet"/>
      <w:lvlText w:val="•"/>
      <w:lvlJc w:val="left"/>
      <w:pPr>
        <w:ind w:left="5089" w:hanging="135"/>
      </w:pPr>
      <w:rPr>
        <w:rFonts w:hint="default"/>
        <w:lang w:val="zh-CN" w:eastAsia="zh-CN" w:bidi="zh-CN"/>
      </w:rPr>
    </w:lvl>
    <w:lvl w:ilvl="8">
      <w:start w:val="0"/>
      <w:numFmt w:val="bullet"/>
      <w:lvlText w:val="•"/>
      <w:lvlJc w:val="left"/>
      <w:pPr>
        <w:ind w:left="5787" w:hanging="135"/>
      </w:pPr>
      <w:rPr>
        <w:rFonts w:hint="default"/>
        <w:lang w:val="zh-CN" w:eastAsia="zh-CN" w:bidi="zh-CN"/>
      </w:rPr>
    </w:lvl>
  </w:abstractNum>
  <w:abstractNum w:abstractNumId="5">
    <w:multiLevelType w:val="hybridMultilevel"/>
    <w:lvl w:ilvl="0">
      <w:start w:val="0"/>
      <w:numFmt w:val="bullet"/>
      <w:lvlText w:val="●"/>
      <w:lvlJc w:val="left"/>
      <w:pPr>
        <w:ind w:left="202" w:hanging="135"/>
      </w:pPr>
      <w:rPr>
        <w:rFonts w:hint="default" w:ascii="Times New Roman" w:hAnsi="Times New Roman" w:eastAsia="Times New Roman" w:cs="Times New Roman"/>
        <w:spacing w:val="-2"/>
        <w:w w:val="100"/>
        <w:sz w:val="20"/>
        <w:szCs w:val="20"/>
        <w:lang w:val="zh-CN" w:eastAsia="zh-CN" w:bidi="zh-CN"/>
      </w:rPr>
    </w:lvl>
    <w:lvl w:ilvl="1">
      <w:start w:val="0"/>
      <w:numFmt w:val="bullet"/>
      <w:lvlText w:val="•"/>
      <w:lvlJc w:val="left"/>
      <w:pPr>
        <w:ind w:left="893" w:hanging="135"/>
      </w:pPr>
      <w:rPr>
        <w:rFonts w:hint="default"/>
        <w:lang w:val="zh-CN" w:eastAsia="zh-CN" w:bidi="zh-CN"/>
      </w:rPr>
    </w:lvl>
    <w:lvl w:ilvl="2">
      <w:start w:val="0"/>
      <w:numFmt w:val="bullet"/>
      <w:lvlText w:val="•"/>
      <w:lvlJc w:val="left"/>
      <w:pPr>
        <w:ind w:left="1586" w:hanging="135"/>
      </w:pPr>
      <w:rPr>
        <w:rFonts w:hint="default"/>
        <w:lang w:val="zh-CN" w:eastAsia="zh-CN" w:bidi="zh-CN"/>
      </w:rPr>
    </w:lvl>
    <w:lvl w:ilvl="3">
      <w:start w:val="0"/>
      <w:numFmt w:val="bullet"/>
      <w:lvlText w:val="•"/>
      <w:lvlJc w:val="left"/>
      <w:pPr>
        <w:ind w:left="2279" w:hanging="135"/>
      </w:pPr>
      <w:rPr>
        <w:rFonts w:hint="default"/>
        <w:lang w:val="zh-CN" w:eastAsia="zh-CN" w:bidi="zh-CN"/>
      </w:rPr>
    </w:lvl>
    <w:lvl w:ilvl="4">
      <w:start w:val="0"/>
      <w:numFmt w:val="bullet"/>
      <w:lvlText w:val="•"/>
      <w:lvlJc w:val="left"/>
      <w:pPr>
        <w:ind w:left="2972" w:hanging="135"/>
      </w:pPr>
      <w:rPr>
        <w:rFonts w:hint="default"/>
        <w:lang w:val="zh-CN" w:eastAsia="zh-CN" w:bidi="zh-CN"/>
      </w:rPr>
    </w:lvl>
    <w:lvl w:ilvl="5">
      <w:start w:val="0"/>
      <w:numFmt w:val="bullet"/>
      <w:lvlText w:val="•"/>
      <w:lvlJc w:val="left"/>
      <w:pPr>
        <w:ind w:left="3665" w:hanging="135"/>
      </w:pPr>
      <w:rPr>
        <w:rFonts w:hint="default"/>
        <w:lang w:val="zh-CN" w:eastAsia="zh-CN" w:bidi="zh-CN"/>
      </w:rPr>
    </w:lvl>
    <w:lvl w:ilvl="6">
      <w:start w:val="0"/>
      <w:numFmt w:val="bullet"/>
      <w:lvlText w:val="•"/>
      <w:lvlJc w:val="left"/>
      <w:pPr>
        <w:ind w:left="4358" w:hanging="135"/>
      </w:pPr>
      <w:rPr>
        <w:rFonts w:hint="default"/>
        <w:lang w:val="zh-CN" w:eastAsia="zh-CN" w:bidi="zh-CN"/>
      </w:rPr>
    </w:lvl>
    <w:lvl w:ilvl="7">
      <w:start w:val="0"/>
      <w:numFmt w:val="bullet"/>
      <w:lvlText w:val="•"/>
      <w:lvlJc w:val="left"/>
      <w:pPr>
        <w:ind w:left="5052" w:hanging="135"/>
      </w:pPr>
      <w:rPr>
        <w:rFonts w:hint="default"/>
        <w:lang w:val="zh-CN" w:eastAsia="zh-CN" w:bidi="zh-CN"/>
      </w:rPr>
    </w:lvl>
    <w:lvl w:ilvl="8">
      <w:start w:val="0"/>
      <w:numFmt w:val="bullet"/>
      <w:lvlText w:val="•"/>
      <w:lvlJc w:val="left"/>
      <w:pPr>
        <w:ind w:left="5745" w:hanging="135"/>
      </w:pPr>
      <w:rPr>
        <w:rFonts w:hint="default"/>
        <w:lang w:val="zh-CN" w:eastAsia="zh-CN" w:bidi="zh-CN"/>
      </w:rPr>
    </w:lvl>
  </w:abstractNum>
  <w:abstractNum w:abstractNumId="4">
    <w:multiLevelType w:val="hybridMultilevel"/>
    <w:lvl w:ilvl="0">
      <w:start w:val="0"/>
      <w:numFmt w:val="bullet"/>
      <w:lvlText w:val="●"/>
      <w:lvlJc w:val="left"/>
      <w:pPr>
        <w:ind w:left="66" w:hanging="135"/>
      </w:pPr>
      <w:rPr>
        <w:rFonts w:hint="default" w:ascii="Times New Roman" w:hAnsi="Times New Roman" w:eastAsia="Times New Roman" w:cs="Times New Roman"/>
        <w:spacing w:val="-2"/>
        <w:w w:val="100"/>
        <w:sz w:val="20"/>
        <w:szCs w:val="20"/>
        <w:lang w:val="zh-CN" w:eastAsia="zh-CN" w:bidi="zh-CN"/>
      </w:rPr>
    </w:lvl>
    <w:lvl w:ilvl="1">
      <w:start w:val="0"/>
      <w:numFmt w:val="bullet"/>
      <w:lvlText w:val="•"/>
      <w:lvlJc w:val="left"/>
      <w:pPr>
        <w:ind w:left="761" w:hanging="135"/>
      </w:pPr>
      <w:rPr>
        <w:rFonts w:hint="default"/>
        <w:lang w:val="zh-CN" w:eastAsia="zh-CN" w:bidi="zh-CN"/>
      </w:rPr>
    </w:lvl>
    <w:lvl w:ilvl="2">
      <w:start w:val="0"/>
      <w:numFmt w:val="bullet"/>
      <w:lvlText w:val="•"/>
      <w:lvlJc w:val="left"/>
      <w:pPr>
        <w:ind w:left="1463" w:hanging="135"/>
      </w:pPr>
      <w:rPr>
        <w:rFonts w:hint="default"/>
        <w:lang w:val="zh-CN" w:eastAsia="zh-CN" w:bidi="zh-CN"/>
      </w:rPr>
    </w:lvl>
    <w:lvl w:ilvl="3">
      <w:start w:val="0"/>
      <w:numFmt w:val="bullet"/>
      <w:lvlText w:val="•"/>
      <w:lvlJc w:val="left"/>
      <w:pPr>
        <w:ind w:left="2165" w:hanging="135"/>
      </w:pPr>
      <w:rPr>
        <w:rFonts w:hint="default"/>
        <w:lang w:val="zh-CN" w:eastAsia="zh-CN" w:bidi="zh-CN"/>
      </w:rPr>
    </w:lvl>
    <w:lvl w:ilvl="4">
      <w:start w:val="0"/>
      <w:numFmt w:val="bullet"/>
      <w:lvlText w:val="•"/>
      <w:lvlJc w:val="left"/>
      <w:pPr>
        <w:ind w:left="2867" w:hanging="135"/>
      </w:pPr>
      <w:rPr>
        <w:rFonts w:hint="default"/>
        <w:lang w:val="zh-CN" w:eastAsia="zh-CN" w:bidi="zh-CN"/>
      </w:rPr>
    </w:lvl>
    <w:lvl w:ilvl="5">
      <w:start w:val="0"/>
      <w:numFmt w:val="bullet"/>
      <w:lvlText w:val="•"/>
      <w:lvlJc w:val="left"/>
      <w:pPr>
        <w:ind w:left="3569" w:hanging="135"/>
      </w:pPr>
      <w:rPr>
        <w:rFonts w:hint="default"/>
        <w:lang w:val="zh-CN" w:eastAsia="zh-CN" w:bidi="zh-CN"/>
      </w:rPr>
    </w:lvl>
    <w:lvl w:ilvl="6">
      <w:start w:val="0"/>
      <w:numFmt w:val="bullet"/>
      <w:lvlText w:val="•"/>
      <w:lvlJc w:val="left"/>
      <w:pPr>
        <w:ind w:left="4271" w:hanging="135"/>
      </w:pPr>
      <w:rPr>
        <w:rFonts w:hint="default"/>
        <w:lang w:val="zh-CN" w:eastAsia="zh-CN" w:bidi="zh-CN"/>
      </w:rPr>
    </w:lvl>
    <w:lvl w:ilvl="7">
      <w:start w:val="0"/>
      <w:numFmt w:val="bullet"/>
      <w:lvlText w:val="•"/>
      <w:lvlJc w:val="left"/>
      <w:pPr>
        <w:ind w:left="4972" w:hanging="135"/>
      </w:pPr>
      <w:rPr>
        <w:rFonts w:hint="default"/>
        <w:lang w:val="zh-CN" w:eastAsia="zh-CN" w:bidi="zh-CN"/>
      </w:rPr>
    </w:lvl>
    <w:lvl w:ilvl="8">
      <w:start w:val="0"/>
      <w:numFmt w:val="bullet"/>
      <w:lvlText w:val="•"/>
      <w:lvlJc w:val="left"/>
      <w:pPr>
        <w:ind w:left="5674" w:hanging="135"/>
      </w:pPr>
      <w:rPr>
        <w:rFonts w:hint="default"/>
        <w:lang w:val="zh-CN" w:eastAsia="zh-CN" w:bidi="zh-CN"/>
      </w:rPr>
    </w:lvl>
  </w:abstractNum>
  <w:abstractNum w:abstractNumId="3">
    <w:multiLevelType w:val="hybridMultilevel"/>
    <w:lvl w:ilvl="0">
      <w:start w:val="0"/>
      <w:numFmt w:val="bullet"/>
      <w:lvlText w:val="●"/>
      <w:lvlJc w:val="left"/>
      <w:pPr>
        <w:ind w:left="207" w:hanging="135"/>
      </w:pPr>
      <w:rPr>
        <w:rFonts w:hint="default" w:ascii="Times New Roman" w:hAnsi="Times New Roman" w:eastAsia="Times New Roman" w:cs="Times New Roman"/>
        <w:spacing w:val="-2"/>
        <w:w w:val="100"/>
        <w:sz w:val="20"/>
        <w:szCs w:val="20"/>
        <w:lang w:val="zh-CN" w:eastAsia="zh-CN" w:bidi="zh-CN"/>
      </w:rPr>
    </w:lvl>
    <w:lvl w:ilvl="1">
      <w:start w:val="0"/>
      <w:numFmt w:val="bullet"/>
      <w:lvlText w:val="•"/>
      <w:lvlJc w:val="left"/>
      <w:pPr>
        <w:ind w:left="894" w:hanging="135"/>
      </w:pPr>
      <w:rPr>
        <w:rFonts w:hint="default"/>
        <w:lang w:val="zh-CN" w:eastAsia="zh-CN" w:bidi="zh-CN"/>
      </w:rPr>
    </w:lvl>
    <w:lvl w:ilvl="2">
      <w:start w:val="0"/>
      <w:numFmt w:val="bullet"/>
      <w:lvlText w:val="•"/>
      <w:lvlJc w:val="left"/>
      <w:pPr>
        <w:ind w:left="1589" w:hanging="135"/>
      </w:pPr>
      <w:rPr>
        <w:rFonts w:hint="default"/>
        <w:lang w:val="zh-CN" w:eastAsia="zh-CN" w:bidi="zh-CN"/>
      </w:rPr>
    </w:lvl>
    <w:lvl w:ilvl="3">
      <w:start w:val="0"/>
      <w:numFmt w:val="bullet"/>
      <w:lvlText w:val="•"/>
      <w:lvlJc w:val="left"/>
      <w:pPr>
        <w:ind w:left="2284" w:hanging="135"/>
      </w:pPr>
      <w:rPr>
        <w:rFonts w:hint="default"/>
        <w:lang w:val="zh-CN" w:eastAsia="zh-CN" w:bidi="zh-CN"/>
      </w:rPr>
    </w:lvl>
    <w:lvl w:ilvl="4">
      <w:start w:val="0"/>
      <w:numFmt w:val="bullet"/>
      <w:lvlText w:val="•"/>
      <w:lvlJc w:val="left"/>
      <w:pPr>
        <w:ind w:left="2978" w:hanging="135"/>
      </w:pPr>
      <w:rPr>
        <w:rFonts w:hint="default"/>
        <w:lang w:val="zh-CN" w:eastAsia="zh-CN" w:bidi="zh-CN"/>
      </w:rPr>
    </w:lvl>
    <w:lvl w:ilvl="5">
      <w:start w:val="0"/>
      <w:numFmt w:val="bullet"/>
      <w:lvlText w:val="•"/>
      <w:lvlJc w:val="left"/>
      <w:pPr>
        <w:ind w:left="3673" w:hanging="135"/>
      </w:pPr>
      <w:rPr>
        <w:rFonts w:hint="default"/>
        <w:lang w:val="zh-CN" w:eastAsia="zh-CN" w:bidi="zh-CN"/>
      </w:rPr>
    </w:lvl>
    <w:lvl w:ilvl="6">
      <w:start w:val="0"/>
      <w:numFmt w:val="bullet"/>
      <w:lvlText w:val="•"/>
      <w:lvlJc w:val="left"/>
      <w:pPr>
        <w:ind w:left="4368" w:hanging="135"/>
      </w:pPr>
      <w:rPr>
        <w:rFonts w:hint="default"/>
        <w:lang w:val="zh-CN" w:eastAsia="zh-CN" w:bidi="zh-CN"/>
      </w:rPr>
    </w:lvl>
    <w:lvl w:ilvl="7">
      <w:start w:val="0"/>
      <w:numFmt w:val="bullet"/>
      <w:lvlText w:val="•"/>
      <w:lvlJc w:val="left"/>
      <w:pPr>
        <w:ind w:left="5062" w:hanging="135"/>
      </w:pPr>
      <w:rPr>
        <w:rFonts w:hint="default"/>
        <w:lang w:val="zh-CN" w:eastAsia="zh-CN" w:bidi="zh-CN"/>
      </w:rPr>
    </w:lvl>
    <w:lvl w:ilvl="8">
      <w:start w:val="0"/>
      <w:numFmt w:val="bullet"/>
      <w:lvlText w:val="•"/>
      <w:lvlJc w:val="left"/>
      <w:pPr>
        <w:ind w:left="5757" w:hanging="135"/>
      </w:pPr>
      <w:rPr>
        <w:rFonts w:hint="default"/>
        <w:lang w:val="zh-CN" w:eastAsia="zh-CN" w:bidi="zh-CN"/>
      </w:rPr>
    </w:lvl>
  </w:abstractNum>
  <w:abstractNum w:abstractNumId="2">
    <w:multiLevelType w:val="hybridMultilevel"/>
    <w:lvl w:ilvl="0">
      <w:start w:val="0"/>
      <w:numFmt w:val="bullet"/>
      <w:lvlText w:val="●"/>
      <w:lvlJc w:val="left"/>
      <w:pPr>
        <w:ind w:left="207" w:hanging="135"/>
      </w:pPr>
      <w:rPr>
        <w:rFonts w:hint="default" w:ascii="Times New Roman" w:hAnsi="Times New Roman" w:eastAsia="Times New Roman" w:cs="Times New Roman"/>
        <w:spacing w:val="-2"/>
        <w:w w:val="100"/>
        <w:sz w:val="20"/>
        <w:szCs w:val="20"/>
        <w:lang w:val="zh-CN" w:eastAsia="zh-CN" w:bidi="zh-CN"/>
      </w:rPr>
    </w:lvl>
    <w:lvl w:ilvl="1">
      <w:start w:val="0"/>
      <w:numFmt w:val="bullet"/>
      <w:lvlText w:val="•"/>
      <w:lvlJc w:val="left"/>
      <w:pPr>
        <w:ind w:left="894" w:hanging="135"/>
      </w:pPr>
      <w:rPr>
        <w:rFonts w:hint="default"/>
        <w:lang w:val="zh-CN" w:eastAsia="zh-CN" w:bidi="zh-CN"/>
      </w:rPr>
    </w:lvl>
    <w:lvl w:ilvl="2">
      <w:start w:val="0"/>
      <w:numFmt w:val="bullet"/>
      <w:lvlText w:val="•"/>
      <w:lvlJc w:val="left"/>
      <w:pPr>
        <w:ind w:left="1589" w:hanging="135"/>
      </w:pPr>
      <w:rPr>
        <w:rFonts w:hint="default"/>
        <w:lang w:val="zh-CN" w:eastAsia="zh-CN" w:bidi="zh-CN"/>
      </w:rPr>
    </w:lvl>
    <w:lvl w:ilvl="3">
      <w:start w:val="0"/>
      <w:numFmt w:val="bullet"/>
      <w:lvlText w:val="•"/>
      <w:lvlJc w:val="left"/>
      <w:pPr>
        <w:ind w:left="2284" w:hanging="135"/>
      </w:pPr>
      <w:rPr>
        <w:rFonts w:hint="default"/>
        <w:lang w:val="zh-CN" w:eastAsia="zh-CN" w:bidi="zh-CN"/>
      </w:rPr>
    </w:lvl>
    <w:lvl w:ilvl="4">
      <w:start w:val="0"/>
      <w:numFmt w:val="bullet"/>
      <w:lvlText w:val="•"/>
      <w:lvlJc w:val="left"/>
      <w:pPr>
        <w:ind w:left="2978" w:hanging="135"/>
      </w:pPr>
      <w:rPr>
        <w:rFonts w:hint="default"/>
        <w:lang w:val="zh-CN" w:eastAsia="zh-CN" w:bidi="zh-CN"/>
      </w:rPr>
    </w:lvl>
    <w:lvl w:ilvl="5">
      <w:start w:val="0"/>
      <w:numFmt w:val="bullet"/>
      <w:lvlText w:val="•"/>
      <w:lvlJc w:val="left"/>
      <w:pPr>
        <w:ind w:left="3673" w:hanging="135"/>
      </w:pPr>
      <w:rPr>
        <w:rFonts w:hint="default"/>
        <w:lang w:val="zh-CN" w:eastAsia="zh-CN" w:bidi="zh-CN"/>
      </w:rPr>
    </w:lvl>
    <w:lvl w:ilvl="6">
      <w:start w:val="0"/>
      <w:numFmt w:val="bullet"/>
      <w:lvlText w:val="•"/>
      <w:lvlJc w:val="left"/>
      <w:pPr>
        <w:ind w:left="4368" w:hanging="135"/>
      </w:pPr>
      <w:rPr>
        <w:rFonts w:hint="default"/>
        <w:lang w:val="zh-CN" w:eastAsia="zh-CN" w:bidi="zh-CN"/>
      </w:rPr>
    </w:lvl>
    <w:lvl w:ilvl="7">
      <w:start w:val="0"/>
      <w:numFmt w:val="bullet"/>
      <w:lvlText w:val="•"/>
      <w:lvlJc w:val="left"/>
      <w:pPr>
        <w:ind w:left="5062" w:hanging="135"/>
      </w:pPr>
      <w:rPr>
        <w:rFonts w:hint="default"/>
        <w:lang w:val="zh-CN" w:eastAsia="zh-CN" w:bidi="zh-CN"/>
      </w:rPr>
    </w:lvl>
    <w:lvl w:ilvl="8">
      <w:start w:val="0"/>
      <w:numFmt w:val="bullet"/>
      <w:lvlText w:val="•"/>
      <w:lvlJc w:val="left"/>
      <w:pPr>
        <w:ind w:left="5757" w:hanging="135"/>
      </w:pPr>
      <w:rPr>
        <w:rFonts w:hint="default"/>
        <w:lang w:val="zh-CN" w:eastAsia="zh-CN" w:bidi="zh-CN"/>
      </w:rPr>
    </w:lvl>
  </w:abstractNum>
  <w:abstractNum w:abstractNumId="1">
    <w:multiLevelType w:val="hybridMultilevel"/>
    <w:lvl w:ilvl="0">
      <w:start w:val="1"/>
      <w:numFmt w:val="decimal"/>
      <w:lvlText w:val="%1."/>
      <w:lvlJc w:val="left"/>
      <w:pPr>
        <w:ind w:left="716" w:hanging="212"/>
        <w:jc w:val="right"/>
      </w:pPr>
      <w:rPr>
        <w:rFonts w:hint="default" w:ascii="宋体" w:hAnsi="宋体" w:eastAsia="宋体" w:cs="宋体"/>
        <w:spacing w:val="1"/>
        <w:w w:val="99"/>
        <w:sz w:val="19"/>
        <w:szCs w:val="19"/>
        <w:lang w:val="zh-CN" w:eastAsia="zh-CN" w:bidi="zh-CN"/>
      </w:rPr>
    </w:lvl>
    <w:lvl w:ilvl="1">
      <w:start w:val="0"/>
      <w:numFmt w:val="bullet"/>
      <w:lvlText w:val="•"/>
      <w:lvlJc w:val="left"/>
      <w:pPr>
        <w:ind w:left="1648" w:hanging="212"/>
      </w:pPr>
      <w:rPr>
        <w:rFonts w:hint="default"/>
        <w:lang w:val="zh-CN" w:eastAsia="zh-CN" w:bidi="zh-CN"/>
      </w:rPr>
    </w:lvl>
    <w:lvl w:ilvl="2">
      <w:start w:val="0"/>
      <w:numFmt w:val="bullet"/>
      <w:lvlText w:val="•"/>
      <w:lvlJc w:val="left"/>
      <w:pPr>
        <w:ind w:left="2576" w:hanging="212"/>
      </w:pPr>
      <w:rPr>
        <w:rFonts w:hint="default"/>
        <w:lang w:val="zh-CN" w:eastAsia="zh-CN" w:bidi="zh-CN"/>
      </w:rPr>
    </w:lvl>
    <w:lvl w:ilvl="3">
      <w:start w:val="0"/>
      <w:numFmt w:val="bullet"/>
      <w:lvlText w:val="•"/>
      <w:lvlJc w:val="left"/>
      <w:pPr>
        <w:ind w:left="3504" w:hanging="212"/>
      </w:pPr>
      <w:rPr>
        <w:rFonts w:hint="default"/>
        <w:lang w:val="zh-CN" w:eastAsia="zh-CN" w:bidi="zh-CN"/>
      </w:rPr>
    </w:lvl>
    <w:lvl w:ilvl="4">
      <w:start w:val="0"/>
      <w:numFmt w:val="bullet"/>
      <w:lvlText w:val="•"/>
      <w:lvlJc w:val="left"/>
      <w:pPr>
        <w:ind w:left="4432" w:hanging="212"/>
      </w:pPr>
      <w:rPr>
        <w:rFonts w:hint="default"/>
        <w:lang w:val="zh-CN" w:eastAsia="zh-CN" w:bidi="zh-CN"/>
      </w:rPr>
    </w:lvl>
    <w:lvl w:ilvl="5">
      <w:start w:val="0"/>
      <w:numFmt w:val="bullet"/>
      <w:lvlText w:val="•"/>
      <w:lvlJc w:val="left"/>
      <w:pPr>
        <w:ind w:left="5360" w:hanging="212"/>
      </w:pPr>
      <w:rPr>
        <w:rFonts w:hint="default"/>
        <w:lang w:val="zh-CN" w:eastAsia="zh-CN" w:bidi="zh-CN"/>
      </w:rPr>
    </w:lvl>
    <w:lvl w:ilvl="6">
      <w:start w:val="0"/>
      <w:numFmt w:val="bullet"/>
      <w:lvlText w:val="•"/>
      <w:lvlJc w:val="left"/>
      <w:pPr>
        <w:ind w:left="6288" w:hanging="212"/>
      </w:pPr>
      <w:rPr>
        <w:rFonts w:hint="default"/>
        <w:lang w:val="zh-CN" w:eastAsia="zh-CN" w:bidi="zh-CN"/>
      </w:rPr>
    </w:lvl>
    <w:lvl w:ilvl="7">
      <w:start w:val="0"/>
      <w:numFmt w:val="bullet"/>
      <w:lvlText w:val="•"/>
      <w:lvlJc w:val="left"/>
      <w:pPr>
        <w:ind w:left="7216" w:hanging="212"/>
      </w:pPr>
      <w:rPr>
        <w:rFonts w:hint="default"/>
        <w:lang w:val="zh-CN" w:eastAsia="zh-CN" w:bidi="zh-CN"/>
      </w:rPr>
    </w:lvl>
    <w:lvl w:ilvl="8">
      <w:start w:val="0"/>
      <w:numFmt w:val="bullet"/>
      <w:lvlText w:val="•"/>
      <w:lvlJc w:val="left"/>
      <w:pPr>
        <w:ind w:left="8144" w:hanging="212"/>
      </w:pPr>
      <w:rPr>
        <w:rFonts w:hint="default"/>
        <w:lang w:val="zh-CN" w:eastAsia="zh-CN" w:bidi="zh-CN"/>
      </w:rPr>
    </w:lvl>
  </w:abstractNum>
  <w:abstractNum w:abstractNumId="0">
    <w:multiLevelType w:val="hybridMultilevel"/>
    <w:lvl w:ilvl="0">
      <w:start w:val="1"/>
      <w:numFmt w:val="decimalZero"/>
      <w:lvlText w:val="%1"/>
      <w:lvlJc w:val="left"/>
      <w:pPr>
        <w:ind w:left="4755" w:hanging="483"/>
        <w:jc w:val="right"/>
      </w:pPr>
      <w:rPr>
        <w:rFonts w:hint="default" w:ascii="宋体" w:hAnsi="宋体" w:eastAsia="宋体" w:cs="宋体"/>
        <w:b/>
        <w:bCs/>
        <w:spacing w:val="0"/>
        <w:w w:val="99"/>
        <w:sz w:val="24"/>
        <w:szCs w:val="24"/>
        <w:lang w:val="zh-CN" w:eastAsia="zh-CN" w:bidi="zh-CN"/>
      </w:rPr>
    </w:lvl>
    <w:lvl w:ilvl="1">
      <w:start w:val="0"/>
      <w:numFmt w:val="bullet"/>
      <w:lvlText w:val="•"/>
      <w:lvlJc w:val="left"/>
      <w:pPr>
        <w:ind w:left="5284" w:hanging="483"/>
      </w:pPr>
      <w:rPr>
        <w:rFonts w:hint="default"/>
        <w:lang w:val="zh-CN" w:eastAsia="zh-CN" w:bidi="zh-CN"/>
      </w:rPr>
    </w:lvl>
    <w:lvl w:ilvl="2">
      <w:start w:val="0"/>
      <w:numFmt w:val="bullet"/>
      <w:lvlText w:val="•"/>
      <w:lvlJc w:val="left"/>
      <w:pPr>
        <w:ind w:left="5808" w:hanging="483"/>
      </w:pPr>
      <w:rPr>
        <w:rFonts w:hint="default"/>
        <w:lang w:val="zh-CN" w:eastAsia="zh-CN" w:bidi="zh-CN"/>
      </w:rPr>
    </w:lvl>
    <w:lvl w:ilvl="3">
      <w:start w:val="0"/>
      <w:numFmt w:val="bullet"/>
      <w:lvlText w:val="•"/>
      <w:lvlJc w:val="left"/>
      <w:pPr>
        <w:ind w:left="6332" w:hanging="483"/>
      </w:pPr>
      <w:rPr>
        <w:rFonts w:hint="default"/>
        <w:lang w:val="zh-CN" w:eastAsia="zh-CN" w:bidi="zh-CN"/>
      </w:rPr>
    </w:lvl>
    <w:lvl w:ilvl="4">
      <w:start w:val="0"/>
      <w:numFmt w:val="bullet"/>
      <w:lvlText w:val="•"/>
      <w:lvlJc w:val="left"/>
      <w:pPr>
        <w:ind w:left="6856" w:hanging="483"/>
      </w:pPr>
      <w:rPr>
        <w:rFonts w:hint="default"/>
        <w:lang w:val="zh-CN" w:eastAsia="zh-CN" w:bidi="zh-CN"/>
      </w:rPr>
    </w:lvl>
    <w:lvl w:ilvl="5">
      <w:start w:val="0"/>
      <w:numFmt w:val="bullet"/>
      <w:lvlText w:val="•"/>
      <w:lvlJc w:val="left"/>
      <w:pPr>
        <w:ind w:left="7380" w:hanging="483"/>
      </w:pPr>
      <w:rPr>
        <w:rFonts w:hint="default"/>
        <w:lang w:val="zh-CN" w:eastAsia="zh-CN" w:bidi="zh-CN"/>
      </w:rPr>
    </w:lvl>
    <w:lvl w:ilvl="6">
      <w:start w:val="0"/>
      <w:numFmt w:val="bullet"/>
      <w:lvlText w:val="•"/>
      <w:lvlJc w:val="left"/>
      <w:pPr>
        <w:ind w:left="7904" w:hanging="483"/>
      </w:pPr>
      <w:rPr>
        <w:rFonts w:hint="default"/>
        <w:lang w:val="zh-CN" w:eastAsia="zh-CN" w:bidi="zh-CN"/>
      </w:rPr>
    </w:lvl>
    <w:lvl w:ilvl="7">
      <w:start w:val="0"/>
      <w:numFmt w:val="bullet"/>
      <w:lvlText w:val="•"/>
      <w:lvlJc w:val="left"/>
      <w:pPr>
        <w:ind w:left="8428" w:hanging="483"/>
      </w:pPr>
      <w:rPr>
        <w:rFonts w:hint="default"/>
        <w:lang w:val="zh-CN" w:eastAsia="zh-CN" w:bidi="zh-CN"/>
      </w:rPr>
    </w:lvl>
    <w:lvl w:ilvl="8">
      <w:start w:val="0"/>
      <w:numFmt w:val="bullet"/>
      <w:lvlText w:val="•"/>
      <w:lvlJc w:val="left"/>
      <w:pPr>
        <w:ind w:left="8952" w:hanging="483"/>
      </w:pPr>
      <w:rPr>
        <w:rFonts w:hint="default"/>
        <w:lang w:val="zh-CN" w:eastAsia="zh-CN" w:bidi="zh-CN"/>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宋体" w:hAnsi="宋体" w:eastAsia="宋体" w:cs="宋体"/>
      <w:lang w:val="zh-CN" w:eastAsia="zh-CN" w:bidi="zh-CN"/>
    </w:rPr>
  </w:style>
  <w:style w:styleId="BodyText" w:type="paragraph">
    <w:name w:val="Body Text"/>
    <w:basedOn w:val="Normal"/>
    <w:uiPriority w:val="1"/>
    <w:qFormat/>
    <w:pPr/>
    <w:rPr>
      <w:rFonts w:ascii="宋体" w:hAnsi="宋体" w:eastAsia="宋体" w:cs="宋体"/>
      <w:sz w:val="24"/>
      <w:szCs w:val="24"/>
      <w:lang w:val="zh-CN" w:eastAsia="zh-CN" w:bidi="zh-CN"/>
    </w:rPr>
  </w:style>
  <w:style w:styleId="Heading1" w:type="paragraph">
    <w:name w:val="Heading 1"/>
    <w:basedOn w:val="Normal"/>
    <w:uiPriority w:val="1"/>
    <w:qFormat/>
    <w:pPr>
      <w:spacing w:before="6"/>
      <w:ind w:left="465"/>
      <w:jc w:val="center"/>
      <w:outlineLvl w:val="1"/>
    </w:pPr>
    <w:rPr>
      <w:rFonts w:ascii="黑体" w:hAnsi="黑体" w:eastAsia="黑体" w:cs="黑体"/>
      <w:b/>
      <w:bCs/>
      <w:sz w:val="36"/>
      <w:szCs w:val="36"/>
      <w:lang w:val="zh-CN" w:eastAsia="zh-CN" w:bidi="zh-CN"/>
    </w:rPr>
  </w:style>
  <w:style w:styleId="Heading2" w:type="paragraph">
    <w:name w:val="Heading 2"/>
    <w:basedOn w:val="Normal"/>
    <w:uiPriority w:val="1"/>
    <w:qFormat/>
    <w:pPr>
      <w:ind w:left="716"/>
      <w:outlineLvl w:val="2"/>
    </w:pPr>
    <w:rPr>
      <w:rFonts w:ascii="黑体" w:hAnsi="黑体" w:eastAsia="黑体" w:cs="黑体"/>
      <w:sz w:val="28"/>
      <w:szCs w:val="28"/>
      <w:lang w:val="zh-CN" w:eastAsia="zh-CN" w:bidi="zh-CN"/>
    </w:rPr>
  </w:style>
  <w:style w:styleId="Heading3" w:type="paragraph">
    <w:name w:val="Heading 3"/>
    <w:basedOn w:val="Normal"/>
    <w:uiPriority w:val="1"/>
    <w:qFormat/>
    <w:pPr>
      <w:ind w:left="1400"/>
      <w:outlineLvl w:val="3"/>
    </w:pPr>
    <w:rPr>
      <w:rFonts w:ascii="宋体" w:hAnsi="宋体" w:eastAsia="宋体" w:cs="宋体"/>
      <w:b/>
      <w:bCs/>
      <w:sz w:val="24"/>
      <w:szCs w:val="24"/>
      <w:lang w:val="zh-CN" w:eastAsia="zh-CN" w:bidi="zh-CN"/>
    </w:rPr>
  </w:style>
  <w:style w:styleId="ListParagraph" w:type="paragraph">
    <w:name w:val="List Paragraph"/>
    <w:basedOn w:val="Normal"/>
    <w:uiPriority w:val="1"/>
    <w:qFormat/>
    <w:pPr>
      <w:ind w:left="4755" w:hanging="484"/>
    </w:pPr>
    <w:rPr>
      <w:rFonts w:ascii="宋体" w:hAnsi="宋体" w:eastAsia="宋体" w:cs="宋体"/>
      <w:lang w:val="zh-CN" w:eastAsia="zh-CN" w:bidi="zh-CN"/>
    </w:rPr>
  </w:style>
  <w:style w:styleId="TableParagraph" w:type="paragraph">
    <w:name w:val="Table Paragraph"/>
    <w:basedOn w:val="Normal"/>
    <w:uiPriority w:val="1"/>
    <w:qFormat/>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hyperlink" Target="mailto:liaohongsengzs@163.com" TargetMode="External"/><Relationship Id="rId9" Type="http://schemas.openxmlformats.org/officeDocument/2006/relationships/footer" Target="footer1.xml"/><Relationship Id="rId10" Type="http://schemas.openxmlformats.org/officeDocument/2006/relationships/image" Target="media/image4.png"/><Relationship Id="rId11" Type="http://schemas.openxmlformats.org/officeDocument/2006/relationships/image" Target="media/image5.jpeg"/><Relationship Id="rId12" Type="http://schemas.openxmlformats.org/officeDocument/2006/relationships/image" Target="media/image6.jpeg"/><Relationship Id="rId13" Type="http://schemas.openxmlformats.org/officeDocument/2006/relationships/image" Target="media/image7.jpeg"/><Relationship Id="rId14" Type="http://schemas.openxmlformats.org/officeDocument/2006/relationships/image" Target="media/image8.jpeg"/><Relationship Id="rId15" Type="http://schemas.openxmlformats.org/officeDocument/2006/relationships/image" Target="media/image9.jpeg"/><Relationship Id="rId16" Type="http://schemas.openxmlformats.org/officeDocument/2006/relationships/image" Target="media/image10.jpeg"/><Relationship Id="rId17" Type="http://schemas.openxmlformats.org/officeDocument/2006/relationships/image" Target="media/image11.jpeg"/><Relationship Id="rId18" Type="http://schemas.openxmlformats.org/officeDocument/2006/relationships/footer" Target="footer2.xml"/><Relationship Id="rId19" Type="http://schemas.openxmlformats.org/officeDocument/2006/relationships/image" Target="media/image12.jpeg"/><Relationship Id="rId20" Type="http://schemas.openxmlformats.org/officeDocument/2006/relationships/image" Target="media/image13.jpeg"/><Relationship Id="rId21" Type="http://schemas.openxmlformats.org/officeDocument/2006/relationships/image" Target="media/image14.jpeg"/><Relationship Id="rId22" Type="http://schemas.openxmlformats.org/officeDocument/2006/relationships/image" Target="media/image15.jpeg"/><Relationship Id="rId23" Type="http://schemas.openxmlformats.org/officeDocument/2006/relationships/image" Target="media/image16.png"/><Relationship Id="rId24" Type="http://schemas.openxmlformats.org/officeDocument/2006/relationships/image" Target="media/image17.png"/><Relationship Id="rId25" Type="http://schemas.openxmlformats.org/officeDocument/2006/relationships/image" Target="media/image18.jpeg"/><Relationship Id="rId26" Type="http://schemas.openxmlformats.org/officeDocument/2006/relationships/footer" Target="footer3.xml"/><Relationship Id="rId27" Type="http://schemas.openxmlformats.org/officeDocument/2006/relationships/image" Target="media/image19.jpeg"/><Relationship Id="rId28" Type="http://schemas.openxmlformats.org/officeDocument/2006/relationships/image" Target="media/image20.jpeg"/><Relationship Id="rId29" Type="http://schemas.openxmlformats.org/officeDocument/2006/relationships/image" Target="media/image21.jpeg"/><Relationship Id="rId30" Type="http://schemas.openxmlformats.org/officeDocument/2006/relationships/image" Target="media/image22.jpeg"/><Relationship Id="rId31" Type="http://schemas.openxmlformats.org/officeDocument/2006/relationships/image" Target="media/image23.jpeg"/><Relationship Id="rId32" Type="http://schemas.openxmlformats.org/officeDocument/2006/relationships/image" Target="media/image24.jpeg"/><Relationship Id="rId33" Type="http://schemas.openxmlformats.org/officeDocument/2006/relationships/footer" Target="footer4.xml"/><Relationship Id="rId34" Type="http://schemas.openxmlformats.org/officeDocument/2006/relationships/image" Target="media/image25.jpeg"/><Relationship Id="rId35" Type="http://schemas.openxmlformats.org/officeDocument/2006/relationships/image" Target="media/image26.jpeg"/><Relationship Id="rId36" Type="http://schemas.openxmlformats.org/officeDocument/2006/relationships/image" Target="media/image27.jpeg"/><Relationship Id="rId37" Type="http://schemas.openxmlformats.org/officeDocument/2006/relationships/image" Target="media/image28.jpeg"/><Relationship Id="rId38" Type="http://schemas.openxmlformats.org/officeDocument/2006/relationships/image" Target="media/image29.jpeg"/><Relationship Id="rId39" Type="http://schemas.openxmlformats.org/officeDocument/2006/relationships/image" Target="media/image30.jpeg"/><Relationship Id="rId40" Type="http://schemas.openxmlformats.org/officeDocument/2006/relationships/image" Target="media/image31.jpeg"/><Relationship Id="rId41" Type="http://schemas.openxmlformats.org/officeDocument/2006/relationships/image" Target="media/image32.jpeg"/><Relationship Id="rId42" Type="http://schemas.openxmlformats.org/officeDocument/2006/relationships/image" Target="media/image33.jpeg"/><Relationship Id="rId43" Type="http://schemas.openxmlformats.org/officeDocument/2006/relationships/footer" Target="footer5.xml"/><Relationship Id="rId44" Type="http://schemas.openxmlformats.org/officeDocument/2006/relationships/image" Target="media/image34.jpeg"/><Relationship Id="rId45" Type="http://schemas.openxmlformats.org/officeDocument/2006/relationships/image" Target="media/image35.jpeg"/><Relationship Id="rId46" Type="http://schemas.openxmlformats.org/officeDocument/2006/relationships/image" Target="media/image36.jpeg"/><Relationship Id="rId47" Type="http://schemas.openxmlformats.org/officeDocument/2006/relationships/image" Target="media/image37.jpeg"/><Relationship Id="rId48" Type="http://schemas.openxmlformats.org/officeDocument/2006/relationships/image" Target="media/image38.jpeg"/><Relationship Id="rId49" Type="http://schemas.openxmlformats.org/officeDocument/2006/relationships/image" Target="media/image39.jpeg"/><Relationship Id="rId5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dcterms:created xsi:type="dcterms:W3CDTF">2020-12-31T09:52:26Z</dcterms:created>
  <dcterms:modified xsi:type="dcterms:W3CDTF">2020-12-31T09:52:26Z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2020-05-27T00:00:00Z</vt:filetime>
  </property>
  <property fmtid="{D5CDD505-2E9C-101B-9397-08002B2CF9AE}" pid="3" name="Creator">
    <vt:lpwstr>WPS 文字</vt:lpwstr>
  </property>
  <property fmtid="{D5CDD505-2E9C-101B-9397-08002B2CF9AE}" pid="4" name="LastSaved">
    <vt:filetime>2020-12-31T00:00:00Z</vt:filetime>
  </property>
</Properties>
</file>