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sz w:val="44"/>
          <w:szCs w:val="44"/>
        </w:rPr>
      </w:pPr>
    </w:p>
    <w:p>
      <w:pPr>
        <w:jc w:val="center"/>
        <w:rPr>
          <w:rFonts w:hint="eastAsia" w:asciiTheme="majorEastAsia" w:hAnsiTheme="majorEastAsia" w:eastAsiaTheme="majorEastAsia" w:cstheme="majorEastAsia"/>
          <w:sz w:val="44"/>
          <w:szCs w:val="44"/>
        </w:rPr>
      </w:pPr>
    </w:p>
    <w:p>
      <w:pPr>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聚焦核心素养，依托精细管理，</w:t>
      </w:r>
    </w:p>
    <w:p>
      <w:pPr>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从优质走向卓越</w:t>
      </w:r>
    </w:p>
    <w:p>
      <w:pPr>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--双华小学2016-2017学年下期德育</w:t>
      </w:r>
    </w:p>
    <w:p>
      <w:pPr>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精细化管理、德育课程建设汇报</w:t>
      </w:r>
    </w:p>
    <w:p>
      <w:pPr>
        <w:jc w:val="right"/>
        <w:rPr>
          <w:rFonts w:hint="eastAsia" w:ascii="仿宋" w:hAnsi="仿宋" w:eastAsia="仿宋" w:cs="仿宋"/>
          <w:sz w:val="32"/>
          <w:szCs w:val="32"/>
        </w:rPr>
      </w:pPr>
      <w:r>
        <w:rPr>
          <w:rFonts w:hint="eastAsia" w:ascii="楷体" w:hAnsi="楷体" w:eastAsia="楷体" w:cs="楷体"/>
          <w:sz w:val="32"/>
          <w:szCs w:val="32"/>
        </w:rPr>
        <w:t>双华小学  张云浩</w:t>
      </w:r>
    </w:p>
    <w:p>
      <w:pPr>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在双华小学五年发展规划效能年开局之年，在双华小学二期课改收官之际，在双华小学以德育管理精细化为学校精细化管理主题的学期。双华小学德育课程建设在“润达生命·思行双华”的办学理念引领下，在实现“培养有竹德，会当家的现代儿童”育人目标的征程中，聚焦核心素养，发扬七德七力；依托精细管理，提高管理效能。“相信每一个孩子都有当家的潜质”，</w:t>
      </w:r>
      <w:r>
        <w:rPr>
          <w:rFonts w:hint="eastAsia" w:ascii="仿宋" w:hAnsi="仿宋" w:eastAsia="仿宋" w:cs="仿宋"/>
          <w:sz w:val="32"/>
          <w:szCs w:val="32"/>
          <w:lang w:eastAsia="zh-CN"/>
        </w:rPr>
        <w:t>以“实、活、联、新”为工作原则，</w:t>
      </w:r>
      <w:r>
        <w:rPr>
          <w:rFonts w:hint="eastAsia" w:ascii="仿宋" w:hAnsi="仿宋" w:eastAsia="仿宋" w:cs="仿宋"/>
          <w:sz w:val="32"/>
          <w:szCs w:val="32"/>
        </w:rPr>
        <w:t>坚实地行走了一个学期，取得了丰硕的成果。现在我代表学校德育课程建设领导小组做德育精细化管理、德育课程建设汇报。我将以“五大竹园”的思路进行汇报。</w:t>
      </w: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pStyle w:val="6"/>
        <w:numPr>
          <w:ilvl w:val="0"/>
          <w:numId w:val="1"/>
        </w:numPr>
        <w:ind w:firstLineChars="0"/>
        <w:rPr>
          <w:rFonts w:hint="eastAsia" w:ascii="黑体" w:hAnsi="黑体" w:eastAsia="黑体" w:cs="黑体"/>
          <w:sz w:val="32"/>
          <w:szCs w:val="32"/>
        </w:rPr>
      </w:pPr>
      <w:r>
        <w:rPr>
          <w:rFonts w:hint="eastAsia" w:ascii="黑体" w:hAnsi="黑体" w:eastAsia="黑体" w:cs="黑体"/>
          <w:sz w:val="32"/>
          <w:szCs w:val="32"/>
        </w:rPr>
        <w:t>管理竹园</w:t>
      </w:r>
    </w:p>
    <w:p>
      <w:pPr>
        <w:pStyle w:val="6"/>
        <w:ind w:left="420" w:firstLine="0" w:firstLineChars="0"/>
        <w:rPr>
          <w:rFonts w:hint="eastAsia" w:ascii="楷体" w:hAnsi="楷体" w:eastAsia="楷体" w:cs="楷体"/>
          <w:sz w:val="32"/>
          <w:szCs w:val="32"/>
        </w:rPr>
      </w:pPr>
      <w:r>
        <w:rPr>
          <w:rFonts w:hint="eastAsia" w:ascii="楷体" w:hAnsi="楷体" w:eastAsia="楷体" w:cs="楷体"/>
          <w:sz w:val="32"/>
          <w:szCs w:val="32"/>
        </w:rPr>
        <w:t>（一）管理网络图</w:t>
      </w:r>
    </w:p>
    <w:p>
      <w:pPr>
        <w:pStyle w:val="6"/>
        <w:ind w:left="420" w:firstLine="0" w:firstLineChars="0"/>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274310" cy="2339340"/>
            <wp:effectExtent l="19050" t="0" r="2540" b="0"/>
            <wp:docPr id="1" name="图片 0" descr="QQ图片201706231945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QQ图片20170623194544.png"/>
                    <pic:cNvPicPr>
                      <a:picLocks noChangeAspect="1"/>
                    </pic:cNvPicPr>
                  </pic:nvPicPr>
                  <pic:blipFill>
                    <a:blip r:embed="rId4" cstate="print"/>
                    <a:stretch>
                      <a:fillRect/>
                    </a:stretch>
                  </pic:blipFill>
                  <pic:spPr>
                    <a:xfrm>
                      <a:off x="0" y="0"/>
                      <a:ext cx="5274310" cy="2339340"/>
                    </a:xfrm>
                    <a:prstGeom prst="rect">
                      <a:avLst/>
                    </a:prstGeom>
                  </pic:spPr>
                </pic:pic>
              </a:graphicData>
            </a:graphic>
          </wp:inline>
        </w:drawing>
      </w:r>
    </w:p>
    <w:p>
      <w:pPr>
        <w:pStyle w:val="6"/>
        <w:keepNext w:val="0"/>
        <w:keepLines w:val="0"/>
        <w:pageBreakBefore w:val="0"/>
        <w:widowControl w:val="0"/>
        <w:kinsoku/>
        <w:wordWrap/>
        <w:overflowPunct/>
        <w:topLinePunct w:val="0"/>
        <w:autoSpaceDE/>
        <w:autoSpaceDN/>
        <w:bidi w:val="0"/>
        <w:adjustRightInd/>
        <w:snapToGrid/>
        <w:spacing w:line="240" w:lineRule="auto"/>
        <w:ind w:left="42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德育管理精细化的要义在于：“人人有事做，事事有人做，时时有人做”，方可实现“全员育德，全程育德，全面育德”的德育精细化管理目标，以最大的效能推进德育课程建设。</w:t>
      </w:r>
    </w:p>
    <w:p>
      <w:pPr>
        <w:pStyle w:val="6"/>
        <w:keepNext w:val="0"/>
        <w:keepLines w:val="0"/>
        <w:pageBreakBefore w:val="0"/>
        <w:widowControl w:val="0"/>
        <w:kinsoku/>
        <w:wordWrap/>
        <w:overflowPunct/>
        <w:topLinePunct w:val="0"/>
        <w:autoSpaceDE/>
        <w:autoSpaceDN/>
        <w:bidi w:val="0"/>
        <w:adjustRightInd/>
        <w:snapToGrid/>
        <w:spacing w:line="240" w:lineRule="auto"/>
        <w:ind w:left="42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因此一个精细严谨的管理网络，一支团结奋进的德育课程建设队伍是德育精细化管理的基础。</w:t>
      </w:r>
    </w:p>
    <w:p>
      <w:pPr>
        <w:pStyle w:val="6"/>
        <w:keepNext w:val="0"/>
        <w:keepLines w:val="0"/>
        <w:pageBreakBefore w:val="0"/>
        <w:widowControl w:val="0"/>
        <w:kinsoku/>
        <w:wordWrap/>
        <w:overflowPunct/>
        <w:topLinePunct w:val="0"/>
        <w:autoSpaceDE/>
        <w:autoSpaceDN/>
        <w:bidi w:val="0"/>
        <w:adjustRightInd/>
        <w:snapToGrid/>
        <w:spacing w:line="240" w:lineRule="auto"/>
        <w:ind w:left="42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如图所示，双华小学建立以校长夏雪梅为组长，副校长肖琦为副组长的德育课程建设工作领导小组，成立了一支有战斗力的德育工作团队。</w:t>
      </w:r>
    </w:p>
    <w:p>
      <w:pPr>
        <w:pStyle w:val="6"/>
        <w:numPr>
          <w:ilvl w:val="0"/>
          <w:numId w:val="2"/>
        </w:numPr>
        <w:ind w:left="42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三个课程处“两条腿走路”</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从管理的角度来看，品格与行为课程处，艺术与审美课程处，健康与安全课程处下设在德育处，从业务的角度来看，三个课程处是相对独立的，课程负责人和下设教研组独立完成课程开发、实施与评价，“专业人做专业事”，三位课程处负责人带领课程处老师们都出色地完成了各项工作，德育处负责行政管理、监督和服务。凸显了我校精细化管理“两条腿走路”的思想，成为我校二期课改机制变革的亮点，让课程处的工作效能达到最大化。</w:t>
      </w:r>
    </w:p>
    <w:p>
      <w:pPr>
        <w:pStyle w:val="6"/>
        <w:numPr>
          <w:ilvl w:val="0"/>
          <w:numId w:val="2"/>
        </w:numPr>
        <w:ind w:left="42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年级、班级管理“层级分明，精细分工，权责明确”</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班级、中队是德育课程的前沿阵地，一个给力、合理的班辅配备，就是德育课程前沿阵地的制高点。怎样去占领这个制高点？我们的举措是</w:t>
      </w:r>
    </w:p>
    <w:p>
      <w:pPr>
        <w:pStyle w:val="6"/>
        <w:numPr>
          <w:ilvl w:val="0"/>
          <w:numId w:val="3"/>
        </w:numPr>
        <w:ind w:left="420" w:left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强化年级组建设，“年级组长就是年级执行校长”</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德育处、少先队直接对接班级、中队的原始做法中，我们发现，沟通对象多，渠道杂，效能低。加强年级组建设，提升年级组长地位，强化年级组长管理，响亮地提出了“年级组长就是年级执行校长！”让年级组长成为年级德育精细化管理、德育课程建设的领头羊，统一协调各班级班主任，各中队辅导员，“一声号令，一个动作，”年级统领班级，让德育管理精细化的层级管理效能最大化。</w:t>
      </w:r>
    </w:p>
    <w:p>
      <w:pPr>
        <w:pStyle w:val="6"/>
        <w:numPr>
          <w:ilvl w:val="0"/>
          <w:numId w:val="3"/>
        </w:numPr>
        <w:ind w:left="420" w:left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明确班主任、辅导员权利与义务</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班级管理就像一个家庭，班主任和辅导员就像两口子，都是为了班级，难免出现一些问题。这个困扰成为了班级管理精细化的难关。面对困难，双华勇于亮剑，拟定了《双华小学班主任工作职责》《双华小学中队辅导员职责》两份重要的文件。将班级管理精细化，校本化，厘清了班主任辅导员的权利与义务，精细分工却又不是截然分离，而是权责明确，相辅相成。两份职责的试运行助推班级管理效能最大化。</w:t>
      </w:r>
    </w:p>
    <w:p>
      <w:pPr>
        <w:pStyle w:val="6"/>
        <w:numPr>
          <w:ilvl w:val="0"/>
          <w:numId w:val="3"/>
        </w:numPr>
        <w:ind w:left="420"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班主任、辅导员精细化手册式管理</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期初，学校统一制定《双华小学班级精细化管理手册》、《双华小学少先队中队精细化管理手册》，以手册式的系统思维实现班级、中队精细化管理，提高班级、中队管理效能。</w:t>
      </w:r>
    </w:p>
    <w:p>
      <w:pPr>
        <w:pStyle w:val="6"/>
        <w:numPr>
          <w:ilvl w:val="0"/>
          <w:numId w:val="2"/>
        </w:numPr>
        <w:ind w:left="42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乡村学校少年宫精细化管理实现之路中的困扰</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期，双华小学乡村学校少年宫在已有的上学期的基础上，按照计划开设了14个艺术体育类专业社团，涉及专业队员286人，旨在为各级各类比赛做准备，而语文数学各个教研组开设的语文数学社团没有纳入到乡村学校少年宫管理办公室统一管理。这就对兴趣社团的建设造成了很大的冲击。</w:t>
      </w:r>
    </w:p>
    <w:tbl>
      <w:tblPr>
        <w:tblStyle w:val="5"/>
        <w:tblW w:w="78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1"/>
        <w:gridCol w:w="2450"/>
        <w:gridCol w:w="3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1" w:type="dxa"/>
            <w:vAlign w:val="center"/>
          </w:tcPr>
          <w:p>
            <w:pPr>
              <w:jc w:val="center"/>
              <w:rPr>
                <w:rFonts w:hint="eastAsia" w:ascii="仿宋" w:hAnsi="仿宋" w:eastAsia="仿宋" w:cs="仿宋"/>
                <w:b/>
                <w:sz w:val="32"/>
                <w:szCs w:val="32"/>
              </w:rPr>
            </w:pPr>
            <w:r>
              <w:rPr>
                <w:rFonts w:hint="eastAsia" w:ascii="仿宋" w:hAnsi="仿宋" w:eastAsia="仿宋" w:cs="仿宋"/>
                <w:b/>
                <w:sz w:val="32"/>
                <w:szCs w:val="32"/>
              </w:rPr>
              <w:t>社团名称</w:t>
            </w:r>
          </w:p>
        </w:tc>
        <w:tc>
          <w:tcPr>
            <w:tcW w:w="2450" w:type="dxa"/>
            <w:vAlign w:val="center"/>
          </w:tcPr>
          <w:p>
            <w:pPr>
              <w:jc w:val="center"/>
              <w:rPr>
                <w:rFonts w:hint="eastAsia" w:ascii="仿宋" w:hAnsi="仿宋" w:eastAsia="仿宋" w:cs="仿宋"/>
                <w:b/>
                <w:sz w:val="32"/>
                <w:szCs w:val="32"/>
              </w:rPr>
            </w:pPr>
            <w:r>
              <w:rPr>
                <w:rFonts w:hint="eastAsia" w:ascii="仿宋" w:hAnsi="仿宋" w:eastAsia="仿宋" w:cs="仿宋"/>
                <w:b/>
                <w:sz w:val="32"/>
                <w:szCs w:val="32"/>
              </w:rPr>
              <w:t>上课时间</w:t>
            </w:r>
          </w:p>
        </w:tc>
        <w:tc>
          <w:tcPr>
            <w:tcW w:w="3075" w:type="dxa"/>
            <w:vAlign w:val="center"/>
          </w:tcPr>
          <w:p>
            <w:pPr>
              <w:jc w:val="center"/>
              <w:rPr>
                <w:rFonts w:hint="eastAsia" w:ascii="仿宋" w:hAnsi="仿宋" w:eastAsia="仿宋" w:cs="仿宋"/>
                <w:b/>
                <w:sz w:val="32"/>
                <w:szCs w:val="32"/>
              </w:rPr>
            </w:pPr>
            <w:r>
              <w:rPr>
                <w:rFonts w:hint="eastAsia" w:ascii="仿宋" w:hAnsi="仿宋" w:eastAsia="仿宋" w:cs="仿宋"/>
                <w:b/>
                <w:sz w:val="32"/>
                <w:szCs w:val="32"/>
              </w:rPr>
              <w:t>辅导员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1"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篮球社团</w:t>
            </w:r>
          </w:p>
        </w:tc>
        <w:tc>
          <w:tcPr>
            <w:tcW w:w="2450"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每周二、三、四</w:t>
            </w:r>
          </w:p>
        </w:tc>
        <w:tc>
          <w:tcPr>
            <w:tcW w:w="3075"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何浩、丁权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1"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足球社团</w:t>
            </w:r>
          </w:p>
        </w:tc>
        <w:tc>
          <w:tcPr>
            <w:tcW w:w="2450"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每周二、三、四</w:t>
            </w:r>
          </w:p>
        </w:tc>
        <w:tc>
          <w:tcPr>
            <w:tcW w:w="3075"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王冬、汪文海</w:t>
            </w:r>
            <w:r>
              <w:rPr>
                <w:rFonts w:hint="eastAsia" w:ascii="仿宋" w:hAnsi="仿宋" w:eastAsia="仿宋" w:cs="仿宋"/>
                <w:sz w:val="32"/>
                <w:szCs w:val="32"/>
                <w:lang w:eastAsia="zh-CN"/>
              </w:rPr>
              <w:t>、何剑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1"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乒乓球社团</w:t>
            </w:r>
          </w:p>
        </w:tc>
        <w:tc>
          <w:tcPr>
            <w:tcW w:w="2450"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每周二、三、四</w:t>
            </w:r>
          </w:p>
        </w:tc>
        <w:tc>
          <w:tcPr>
            <w:tcW w:w="3075"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郎永秀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1"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健美操社团</w:t>
            </w:r>
          </w:p>
        </w:tc>
        <w:tc>
          <w:tcPr>
            <w:tcW w:w="2450"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每周二、三、四</w:t>
            </w:r>
          </w:p>
        </w:tc>
        <w:tc>
          <w:tcPr>
            <w:tcW w:w="3075"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何俊彦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1"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田径社团</w:t>
            </w:r>
          </w:p>
        </w:tc>
        <w:tc>
          <w:tcPr>
            <w:tcW w:w="2450"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每周二、三、四</w:t>
            </w:r>
          </w:p>
        </w:tc>
        <w:tc>
          <w:tcPr>
            <w:tcW w:w="3075"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陈永才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1"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合唱社团</w:t>
            </w:r>
          </w:p>
        </w:tc>
        <w:tc>
          <w:tcPr>
            <w:tcW w:w="2450"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每周二、四</w:t>
            </w:r>
          </w:p>
        </w:tc>
        <w:tc>
          <w:tcPr>
            <w:tcW w:w="3075"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杨婧婧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1"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竖笛社团</w:t>
            </w:r>
          </w:p>
        </w:tc>
        <w:tc>
          <w:tcPr>
            <w:tcW w:w="2450"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每周三、四</w:t>
            </w:r>
          </w:p>
        </w:tc>
        <w:tc>
          <w:tcPr>
            <w:tcW w:w="3075"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张茂华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1"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曲艺社团</w:t>
            </w:r>
          </w:p>
        </w:tc>
        <w:tc>
          <w:tcPr>
            <w:tcW w:w="2450"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每周二、四</w:t>
            </w:r>
          </w:p>
        </w:tc>
        <w:tc>
          <w:tcPr>
            <w:tcW w:w="3075"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杨应芝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1"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剪纸社团</w:t>
            </w:r>
          </w:p>
        </w:tc>
        <w:tc>
          <w:tcPr>
            <w:tcW w:w="2450"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每周二、三</w:t>
            </w:r>
          </w:p>
        </w:tc>
        <w:tc>
          <w:tcPr>
            <w:tcW w:w="3075"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唐萍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1"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创意色彩社团</w:t>
            </w:r>
          </w:p>
        </w:tc>
        <w:tc>
          <w:tcPr>
            <w:tcW w:w="2450"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每周二、三</w:t>
            </w:r>
          </w:p>
        </w:tc>
        <w:tc>
          <w:tcPr>
            <w:tcW w:w="3075"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殷小晰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1"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书画社团</w:t>
            </w:r>
          </w:p>
        </w:tc>
        <w:tc>
          <w:tcPr>
            <w:tcW w:w="2450"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每周二、三</w:t>
            </w:r>
          </w:p>
        </w:tc>
        <w:tc>
          <w:tcPr>
            <w:tcW w:w="3075"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王晶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1"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思维绘画社团</w:t>
            </w:r>
          </w:p>
        </w:tc>
        <w:tc>
          <w:tcPr>
            <w:tcW w:w="2450"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每周二、三</w:t>
            </w:r>
          </w:p>
        </w:tc>
        <w:tc>
          <w:tcPr>
            <w:tcW w:w="3075"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陈佳欣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1"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舞之恋社团</w:t>
            </w:r>
          </w:p>
        </w:tc>
        <w:tc>
          <w:tcPr>
            <w:tcW w:w="2450"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每周四</w:t>
            </w:r>
          </w:p>
        </w:tc>
        <w:tc>
          <w:tcPr>
            <w:tcW w:w="3075"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佘跃清</w:t>
            </w:r>
          </w:p>
        </w:tc>
      </w:tr>
    </w:tbl>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在乡村学校少年宫过程管理之中，出现了主体不落实，监管不到位的问题，让双华小学乡村学校少年宫“生命真彩，自由自在”的氛围出现一定的褪色。</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新学期，乡村学校少年宫管理办公室将采取如下措施实现乡村学校少年宫精细化管理。</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1.主体责任明确</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乡村学校少年宫管理办公室将把社团建设的主体责任明确到课程处，社团课程开发、实施、评价由课程处全权负责，乡村学校少年宫管理办公室负责监督、协调、服务。对社团的考核由课程处负责人和乡村学校少年宫管理办公室分两条线进行，最后一起核对。</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2.纳入语数社团</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语数社团建设游离在乡村学校少年宫管理办公室之外，语数社团也应纳入乡村学校少年宫统一的管理与考核，作为兴趣社团统一安排，实现社团参与率100%。</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3.加强常规考核</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加强常规考核，用定时检查和抽查相结合的形式，对社团辅导员的备课、上课进行评估，对学生的知识吸纳，能力养成，心理状态进行评估。</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4.学生自愿报名</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在新学期初社团辅导员进行宣传，由学生进行自愿报名参与社团活动。</w:t>
      </w:r>
    </w:p>
    <w:p>
      <w:pPr>
        <w:pStyle w:val="6"/>
        <w:numPr>
          <w:ilvl w:val="0"/>
          <w:numId w:val="2"/>
        </w:numPr>
        <w:ind w:left="42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精准措施助推安全管理精细化</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本期，学校没有发生安全责任事故，这就是最好的安全工作总结。</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在安全、卫生管理中，使用手册式管理、表格式管理等过程管理方法，提高管理效能。</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于发生在学生、家长身边的安全隐患和困扰，我们采取了精准的措施解决学生的困扰，消除安全隐患。自年初双流区公交线路调整以后，空港四期方向的学生上学下车公交站变更，要步行穿过3个车流量大的路口才能到校，存在极大的安全隐患，成了家长们心头之忧，我们看在眼里，急在心头。我们必须得做点什么，开学初，校长夏雪梅了解情况之后，立即签发《关于双华小学建议调整833路公交线路的请示》，寻求相关主管部门的帮助。对内，德育处指导健康安全课程处开展交通安全课程，对相应的学生进行精准教育。在一系列的精准举措下，双流区教育局党组书记、局长李光纯同志在全区城乡综合治理会议上严肃提出了双华小学学校、家长和学生的关切。5月底，双流区公交公司新增S13路公交车，路线与原832B线路一致，且车况更好，发车间隔更短，在双华小学侧后方设立双华小学站，彻底解决了空港四期方向学生上学交通安全问题。在问题解决期间，学校无1例交通安全事故。我们用精准的措施，不懈的努力，为孩子创造一条安全的上学路，把工作做到最后一公里，把公交站修到学校边。</w:t>
      </w:r>
    </w:p>
    <w:p>
      <w:pPr>
        <w:pStyle w:val="6"/>
        <w:numPr>
          <w:ilvl w:val="0"/>
          <w:numId w:val="2"/>
        </w:numPr>
        <w:ind w:left="42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精准教育资助让孩子们和我们在一起</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教育资助就是要尽最大的努力去帮助应该帮助的孩子，让他们和所有的孩子一起活动。感受到生活的温暖，在帮助孩子的过程中，我们感受到了很多老师对孩子的爱心。</w:t>
      </w:r>
    </w:p>
    <w:tbl>
      <w:tblPr>
        <w:tblStyle w:val="5"/>
        <w:tblW w:w="88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1779"/>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lang w:val="en-US" w:eastAsia="zh-CN"/>
              </w:rPr>
              <w:t>项目</w:t>
            </w:r>
          </w:p>
        </w:tc>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学生人数</w:t>
            </w:r>
          </w:p>
        </w:tc>
        <w:tc>
          <w:tcPr>
            <w:tcW w:w="1779"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金额（元）</w:t>
            </w:r>
          </w:p>
        </w:tc>
        <w:tc>
          <w:tcPr>
            <w:tcW w:w="2835"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宏志助学金</w:t>
            </w:r>
          </w:p>
        </w:tc>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w:t>
            </w:r>
          </w:p>
        </w:tc>
        <w:tc>
          <w:tcPr>
            <w:tcW w:w="1779"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2000</w:t>
            </w:r>
          </w:p>
        </w:tc>
        <w:tc>
          <w:tcPr>
            <w:tcW w:w="2835" w:type="dxa"/>
          </w:tcPr>
          <w:p>
            <w:pPr>
              <w:pStyle w:val="6"/>
              <w:numPr>
                <w:ilvl w:val="0"/>
                <w:numId w:val="0"/>
              </w:numPr>
              <w:jc w:val="center"/>
              <w:rPr>
                <w:rFonts w:hint="eastAsia" w:ascii="仿宋" w:hAnsi="仿宋" w:eastAsia="仿宋" w:cs="仿宋"/>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鸡蛋牛奶工程</w:t>
            </w:r>
          </w:p>
        </w:tc>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6</w:t>
            </w:r>
          </w:p>
        </w:tc>
        <w:tc>
          <w:tcPr>
            <w:tcW w:w="1779"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3000</w:t>
            </w:r>
          </w:p>
        </w:tc>
        <w:tc>
          <w:tcPr>
            <w:tcW w:w="2835" w:type="dxa"/>
          </w:tcPr>
          <w:p>
            <w:pPr>
              <w:pStyle w:val="6"/>
              <w:numPr>
                <w:ilvl w:val="0"/>
                <w:numId w:val="0"/>
              </w:numPr>
              <w:jc w:val="center"/>
              <w:rPr>
                <w:rFonts w:hint="eastAsia" w:ascii="仿宋" w:hAnsi="仿宋" w:eastAsia="仿宋" w:cs="仿宋"/>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双流商会爱心助学</w:t>
            </w:r>
          </w:p>
        </w:tc>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4</w:t>
            </w:r>
          </w:p>
        </w:tc>
        <w:tc>
          <w:tcPr>
            <w:tcW w:w="1779"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4800</w:t>
            </w:r>
          </w:p>
        </w:tc>
        <w:tc>
          <w:tcPr>
            <w:tcW w:w="2835" w:type="dxa"/>
          </w:tcPr>
          <w:p>
            <w:pPr>
              <w:pStyle w:val="6"/>
              <w:numPr>
                <w:ilvl w:val="0"/>
                <w:numId w:val="0"/>
              </w:numPr>
              <w:jc w:val="center"/>
              <w:rPr>
                <w:rFonts w:hint="eastAsia" w:ascii="仿宋" w:hAnsi="仿宋" w:eastAsia="仿宋" w:cs="仿宋"/>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食堂餐费减免</w:t>
            </w:r>
          </w:p>
        </w:tc>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w:t>
            </w:r>
          </w:p>
        </w:tc>
        <w:tc>
          <w:tcPr>
            <w:tcW w:w="1779"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765</w:t>
            </w:r>
          </w:p>
        </w:tc>
        <w:tc>
          <w:tcPr>
            <w:tcW w:w="2835" w:type="dxa"/>
          </w:tcPr>
          <w:p>
            <w:pPr>
              <w:pStyle w:val="6"/>
              <w:numPr>
                <w:ilvl w:val="0"/>
                <w:numId w:val="0"/>
              </w:numPr>
              <w:jc w:val="center"/>
              <w:rPr>
                <w:rFonts w:hint="eastAsia" w:ascii="仿宋" w:hAnsi="仿宋" w:eastAsia="仿宋" w:cs="仿宋"/>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社会实践</w:t>
            </w:r>
          </w:p>
        </w:tc>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15</w:t>
            </w:r>
          </w:p>
        </w:tc>
        <w:tc>
          <w:tcPr>
            <w:tcW w:w="1779"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2625</w:t>
            </w:r>
          </w:p>
        </w:tc>
        <w:tc>
          <w:tcPr>
            <w:tcW w:w="2835"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学校爱心基金3人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军训综合实践</w:t>
            </w:r>
          </w:p>
        </w:tc>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5</w:t>
            </w:r>
          </w:p>
        </w:tc>
        <w:tc>
          <w:tcPr>
            <w:tcW w:w="1779"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1600</w:t>
            </w:r>
          </w:p>
        </w:tc>
        <w:tc>
          <w:tcPr>
            <w:tcW w:w="2835" w:type="dxa"/>
          </w:tcPr>
          <w:p>
            <w:pPr>
              <w:pStyle w:val="6"/>
              <w:numPr>
                <w:ilvl w:val="0"/>
                <w:numId w:val="0"/>
              </w:numPr>
              <w:jc w:val="center"/>
              <w:rPr>
                <w:rFonts w:hint="eastAsia" w:ascii="仿宋" w:hAnsi="仿宋" w:eastAsia="仿宋" w:cs="仿宋"/>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暖冬行动</w:t>
            </w:r>
          </w:p>
        </w:tc>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54</w:t>
            </w:r>
          </w:p>
        </w:tc>
        <w:tc>
          <w:tcPr>
            <w:tcW w:w="1779"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5400</w:t>
            </w:r>
          </w:p>
        </w:tc>
        <w:tc>
          <w:tcPr>
            <w:tcW w:w="2835" w:type="dxa"/>
          </w:tcPr>
          <w:p>
            <w:pPr>
              <w:pStyle w:val="6"/>
              <w:numPr>
                <w:ilvl w:val="0"/>
                <w:numId w:val="0"/>
              </w:numPr>
              <w:jc w:val="center"/>
              <w:rPr>
                <w:rFonts w:hint="eastAsia" w:ascii="仿宋" w:hAnsi="仿宋" w:eastAsia="仿宋" w:cs="仿宋"/>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合计</w:t>
            </w:r>
          </w:p>
        </w:tc>
        <w:tc>
          <w:tcPr>
            <w:tcW w:w="2130"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87（人次）</w:t>
            </w:r>
          </w:p>
        </w:tc>
        <w:tc>
          <w:tcPr>
            <w:tcW w:w="1779" w:type="dxa"/>
          </w:tcPr>
          <w:p>
            <w:pPr>
              <w:pStyle w:val="6"/>
              <w:numPr>
                <w:ilvl w:val="0"/>
                <w:numId w:val="0"/>
              </w:num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20190</w:t>
            </w:r>
          </w:p>
        </w:tc>
        <w:tc>
          <w:tcPr>
            <w:tcW w:w="2835" w:type="dxa"/>
          </w:tcPr>
          <w:p>
            <w:pPr>
              <w:pStyle w:val="6"/>
              <w:numPr>
                <w:ilvl w:val="0"/>
                <w:numId w:val="0"/>
              </w:numPr>
              <w:jc w:val="center"/>
              <w:rPr>
                <w:rFonts w:hint="eastAsia" w:ascii="仿宋" w:hAnsi="仿宋" w:eastAsia="仿宋" w:cs="仿宋"/>
                <w:sz w:val="32"/>
                <w:szCs w:val="32"/>
                <w:vertAlign w:val="baseline"/>
                <w:lang w:val="en-US" w:eastAsia="zh-CN"/>
              </w:rPr>
            </w:pPr>
          </w:p>
        </w:tc>
      </w:tr>
    </w:tbl>
    <w:p>
      <w:pPr>
        <w:pStyle w:val="6"/>
        <w:numPr>
          <w:ilvl w:val="0"/>
          <w:numId w:val="0"/>
        </w:numPr>
        <w:rPr>
          <w:rFonts w:hint="eastAsia" w:ascii="仿宋" w:hAnsi="仿宋" w:eastAsia="仿宋" w:cs="仿宋"/>
          <w:sz w:val="32"/>
          <w:szCs w:val="32"/>
          <w:lang w:val="en-US" w:eastAsia="zh-CN"/>
        </w:rPr>
      </w:pPr>
    </w:p>
    <w:p>
      <w:pPr>
        <w:pStyle w:val="6"/>
        <w:numPr>
          <w:ilvl w:val="0"/>
          <w:numId w:val="2"/>
        </w:numPr>
        <w:ind w:left="42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开辟宣传全新阵地，点亮双华优质品牌</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双华小学以规划课程引领学校优质发展，取得了丰硕的成果，我们深刻的意识到，学校宣传工作要紧跟学校发展的脚步，为点亮双华优质品牌提供更高级，更精美，更广泛的宣传报道。本期，我校宣传工作取得了长足的进步：</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1644"/>
        <w:gridCol w:w="2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lang w:val="en-US" w:eastAsia="zh-CN"/>
              </w:rPr>
              <w:t>级别</w:t>
            </w:r>
          </w:p>
        </w:tc>
        <w:tc>
          <w:tcPr>
            <w:tcW w:w="2130"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媒体种类</w:t>
            </w:r>
          </w:p>
        </w:tc>
        <w:tc>
          <w:tcPr>
            <w:tcW w:w="1644"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篇数</w:t>
            </w:r>
          </w:p>
        </w:tc>
        <w:tc>
          <w:tcPr>
            <w:tcW w:w="2618"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优秀部门和个人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restart"/>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市级</w:t>
            </w:r>
          </w:p>
        </w:tc>
        <w:tc>
          <w:tcPr>
            <w:tcW w:w="2130"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传统媒体</w:t>
            </w:r>
          </w:p>
        </w:tc>
        <w:tc>
          <w:tcPr>
            <w:tcW w:w="1644"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w:t>
            </w:r>
          </w:p>
        </w:tc>
        <w:tc>
          <w:tcPr>
            <w:tcW w:w="2618"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杨东宇、总务处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tcPr>
          <w:p>
            <w:pPr>
              <w:pStyle w:val="6"/>
              <w:numPr>
                <w:ilvl w:val="0"/>
                <w:numId w:val="0"/>
              </w:numPr>
              <w:rPr>
                <w:rFonts w:hint="eastAsia" w:ascii="仿宋" w:hAnsi="仿宋" w:eastAsia="仿宋" w:cs="仿宋"/>
                <w:sz w:val="32"/>
                <w:szCs w:val="32"/>
                <w:vertAlign w:val="baseline"/>
                <w:lang w:val="en-US" w:eastAsia="zh-CN"/>
              </w:rPr>
            </w:pPr>
          </w:p>
        </w:tc>
        <w:tc>
          <w:tcPr>
            <w:tcW w:w="2130"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网络媒体</w:t>
            </w:r>
          </w:p>
        </w:tc>
        <w:tc>
          <w:tcPr>
            <w:tcW w:w="1644"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w:t>
            </w:r>
          </w:p>
        </w:tc>
        <w:tc>
          <w:tcPr>
            <w:tcW w:w="2618"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杨东宇、总务处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restart"/>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区级</w:t>
            </w:r>
          </w:p>
        </w:tc>
        <w:tc>
          <w:tcPr>
            <w:tcW w:w="2130"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传统媒体</w:t>
            </w:r>
          </w:p>
        </w:tc>
        <w:tc>
          <w:tcPr>
            <w:tcW w:w="1644"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w:t>
            </w:r>
          </w:p>
        </w:tc>
        <w:tc>
          <w:tcPr>
            <w:tcW w:w="2618"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德育处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tcPr>
          <w:p>
            <w:pPr>
              <w:pStyle w:val="6"/>
              <w:numPr>
                <w:ilvl w:val="0"/>
                <w:numId w:val="0"/>
              </w:numPr>
              <w:rPr>
                <w:rFonts w:hint="eastAsia" w:ascii="仿宋" w:hAnsi="仿宋" w:eastAsia="仿宋" w:cs="仿宋"/>
                <w:sz w:val="32"/>
                <w:szCs w:val="32"/>
                <w:vertAlign w:val="baseline"/>
                <w:lang w:val="en-US" w:eastAsia="zh-CN"/>
              </w:rPr>
            </w:pPr>
          </w:p>
        </w:tc>
        <w:tc>
          <w:tcPr>
            <w:tcW w:w="2130"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网络媒体</w:t>
            </w:r>
          </w:p>
        </w:tc>
        <w:tc>
          <w:tcPr>
            <w:tcW w:w="1644" w:type="dxa"/>
          </w:tcPr>
          <w:p>
            <w:pPr>
              <w:pStyle w:val="6"/>
              <w:numPr>
                <w:ilvl w:val="0"/>
                <w:numId w:val="0"/>
              </w:numPr>
              <w:rPr>
                <w:rFonts w:hint="eastAsia" w:ascii="仿宋" w:hAnsi="仿宋" w:eastAsia="仿宋" w:cs="仿宋"/>
                <w:sz w:val="32"/>
                <w:szCs w:val="32"/>
                <w:vertAlign w:val="baseline"/>
                <w:lang w:val="en-US" w:eastAsia="zh-CN"/>
              </w:rPr>
            </w:pPr>
          </w:p>
        </w:tc>
        <w:tc>
          <w:tcPr>
            <w:tcW w:w="2618"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教导处：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2130" w:type="dxa"/>
            <w:vMerge w:val="continue"/>
          </w:tcPr>
          <w:p>
            <w:pPr>
              <w:pStyle w:val="6"/>
              <w:numPr>
                <w:ilvl w:val="0"/>
                <w:numId w:val="0"/>
              </w:numPr>
              <w:rPr>
                <w:rFonts w:hint="eastAsia" w:ascii="仿宋" w:hAnsi="仿宋" w:eastAsia="仿宋" w:cs="仿宋"/>
                <w:sz w:val="32"/>
                <w:szCs w:val="32"/>
                <w:vertAlign w:val="baseline"/>
                <w:lang w:val="en-US" w:eastAsia="zh-CN"/>
              </w:rPr>
            </w:pPr>
          </w:p>
        </w:tc>
        <w:tc>
          <w:tcPr>
            <w:tcW w:w="2130" w:type="dxa"/>
          </w:tcPr>
          <w:p>
            <w:pPr>
              <w:pStyle w:val="6"/>
              <w:numPr>
                <w:ilvl w:val="0"/>
                <w:numId w:val="0"/>
              </w:numPr>
              <w:rPr>
                <w:rFonts w:hint="eastAsia" w:ascii="仿宋" w:hAnsi="仿宋" w:eastAsia="仿宋" w:cs="仿宋"/>
                <w:sz w:val="32"/>
                <w:szCs w:val="32"/>
                <w:vertAlign w:val="baseline"/>
                <w:lang w:val="en-US" w:eastAsia="zh-CN"/>
              </w:rPr>
            </w:pPr>
          </w:p>
        </w:tc>
        <w:tc>
          <w:tcPr>
            <w:tcW w:w="1644" w:type="dxa"/>
          </w:tcPr>
          <w:p>
            <w:pPr>
              <w:pStyle w:val="6"/>
              <w:numPr>
                <w:ilvl w:val="0"/>
                <w:numId w:val="0"/>
              </w:numPr>
              <w:rPr>
                <w:rFonts w:hint="eastAsia" w:ascii="仿宋" w:hAnsi="仿宋" w:eastAsia="仿宋" w:cs="仿宋"/>
                <w:sz w:val="32"/>
                <w:szCs w:val="32"/>
                <w:vertAlign w:val="baseline"/>
                <w:lang w:val="en-US" w:eastAsia="zh-CN"/>
              </w:rPr>
            </w:pPr>
          </w:p>
        </w:tc>
        <w:tc>
          <w:tcPr>
            <w:tcW w:w="2618"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德育处：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tcPr>
          <w:p>
            <w:pPr>
              <w:pStyle w:val="6"/>
              <w:numPr>
                <w:ilvl w:val="0"/>
                <w:numId w:val="0"/>
              </w:numPr>
              <w:rPr>
                <w:rFonts w:hint="eastAsia" w:ascii="仿宋" w:hAnsi="仿宋" w:eastAsia="仿宋" w:cs="仿宋"/>
                <w:sz w:val="32"/>
                <w:szCs w:val="32"/>
                <w:vertAlign w:val="baseline"/>
                <w:lang w:val="en-US" w:eastAsia="zh-CN"/>
              </w:rPr>
            </w:pPr>
          </w:p>
        </w:tc>
        <w:tc>
          <w:tcPr>
            <w:tcW w:w="2130" w:type="dxa"/>
          </w:tcPr>
          <w:p>
            <w:pPr>
              <w:pStyle w:val="6"/>
              <w:numPr>
                <w:ilvl w:val="0"/>
                <w:numId w:val="0"/>
              </w:numPr>
              <w:rPr>
                <w:rFonts w:hint="eastAsia" w:ascii="仿宋" w:hAnsi="仿宋" w:eastAsia="仿宋" w:cs="仿宋"/>
                <w:sz w:val="32"/>
                <w:szCs w:val="32"/>
                <w:vertAlign w:val="baseline"/>
                <w:lang w:val="en-US" w:eastAsia="zh-CN"/>
              </w:rPr>
            </w:pPr>
          </w:p>
        </w:tc>
        <w:tc>
          <w:tcPr>
            <w:tcW w:w="1644" w:type="dxa"/>
          </w:tcPr>
          <w:p>
            <w:pPr>
              <w:pStyle w:val="6"/>
              <w:numPr>
                <w:ilvl w:val="0"/>
                <w:numId w:val="0"/>
              </w:numPr>
              <w:rPr>
                <w:rFonts w:hint="eastAsia" w:ascii="仿宋" w:hAnsi="仿宋" w:eastAsia="仿宋" w:cs="仿宋"/>
                <w:sz w:val="32"/>
                <w:szCs w:val="32"/>
                <w:vertAlign w:val="baseline"/>
                <w:lang w:val="en-US" w:eastAsia="zh-CN"/>
              </w:rPr>
            </w:pPr>
          </w:p>
        </w:tc>
        <w:tc>
          <w:tcPr>
            <w:tcW w:w="2618"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总务处：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tcPr>
          <w:p>
            <w:pPr>
              <w:pStyle w:val="6"/>
              <w:numPr>
                <w:ilvl w:val="0"/>
                <w:numId w:val="0"/>
              </w:numPr>
              <w:rPr>
                <w:rFonts w:hint="eastAsia" w:ascii="仿宋" w:hAnsi="仿宋" w:eastAsia="仿宋" w:cs="仿宋"/>
                <w:sz w:val="32"/>
                <w:szCs w:val="32"/>
                <w:vertAlign w:val="baseline"/>
                <w:lang w:val="en-US" w:eastAsia="zh-CN"/>
              </w:rPr>
            </w:pPr>
          </w:p>
        </w:tc>
        <w:tc>
          <w:tcPr>
            <w:tcW w:w="2130" w:type="dxa"/>
          </w:tcPr>
          <w:p>
            <w:pPr>
              <w:pStyle w:val="6"/>
              <w:numPr>
                <w:ilvl w:val="0"/>
                <w:numId w:val="0"/>
              </w:numPr>
              <w:rPr>
                <w:rFonts w:hint="eastAsia" w:ascii="仿宋" w:hAnsi="仿宋" w:eastAsia="仿宋" w:cs="仿宋"/>
                <w:sz w:val="32"/>
                <w:szCs w:val="32"/>
                <w:vertAlign w:val="baseline"/>
                <w:lang w:val="en-US" w:eastAsia="zh-CN"/>
              </w:rPr>
            </w:pPr>
          </w:p>
        </w:tc>
        <w:tc>
          <w:tcPr>
            <w:tcW w:w="1644" w:type="dxa"/>
          </w:tcPr>
          <w:p>
            <w:pPr>
              <w:pStyle w:val="6"/>
              <w:numPr>
                <w:ilvl w:val="0"/>
                <w:numId w:val="0"/>
              </w:numPr>
              <w:rPr>
                <w:rFonts w:hint="eastAsia" w:ascii="仿宋" w:hAnsi="仿宋" w:eastAsia="仿宋" w:cs="仿宋"/>
                <w:sz w:val="32"/>
                <w:szCs w:val="32"/>
                <w:vertAlign w:val="baseline"/>
                <w:lang w:val="en-US" w:eastAsia="zh-CN"/>
              </w:rPr>
            </w:pPr>
          </w:p>
        </w:tc>
        <w:tc>
          <w:tcPr>
            <w:tcW w:w="2618" w:type="dxa"/>
          </w:tcPr>
          <w:p>
            <w:pPr>
              <w:pStyle w:val="6"/>
              <w:numPr>
                <w:ilvl w:val="0"/>
                <w:numId w:val="0"/>
              </w:numPr>
              <w:rPr>
                <w:rFonts w:hint="eastAsia" w:ascii="仿宋" w:hAnsi="仿宋" w:eastAsia="仿宋" w:cs="仿宋"/>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tcPr>
          <w:p>
            <w:pPr>
              <w:pStyle w:val="6"/>
              <w:numPr>
                <w:ilvl w:val="0"/>
                <w:numId w:val="0"/>
              </w:numPr>
              <w:rPr>
                <w:rFonts w:hint="eastAsia" w:ascii="仿宋" w:hAnsi="仿宋" w:eastAsia="仿宋" w:cs="仿宋"/>
                <w:sz w:val="32"/>
                <w:szCs w:val="32"/>
                <w:vertAlign w:val="baseline"/>
                <w:lang w:val="en-US" w:eastAsia="zh-CN"/>
              </w:rPr>
            </w:pPr>
          </w:p>
        </w:tc>
        <w:tc>
          <w:tcPr>
            <w:tcW w:w="2130"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自媒体</w:t>
            </w:r>
          </w:p>
        </w:tc>
        <w:tc>
          <w:tcPr>
            <w:tcW w:w="1644"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5</w:t>
            </w:r>
          </w:p>
        </w:tc>
        <w:tc>
          <w:tcPr>
            <w:tcW w:w="2618"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夏雪梅、黄丹、德育处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restart"/>
          </w:tcPr>
          <w:p>
            <w:pPr>
              <w:pStyle w:val="6"/>
              <w:numPr>
                <w:ilvl w:val="0"/>
                <w:numId w:val="0"/>
              </w:numPr>
              <w:rPr>
                <w:rFonts w:hint="eastAsia" w:ascii="仿宋" w:hAnsi="仿宋" w:eastAsia="仿宋" w:cs="仿宋"/>
                <w:sz w:val="32"/>
                <w:szCs w:val="32"/>
                <w:vertAlign w:val="baseline"/>
                <w:lang w:val="en-US" w:eastAsia="zh-CN"/>
              </w:rPr>
            </w:pPr>
          </w:p>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校级</w:t>
            </w:r>
          </w:p>
        </w:tc>
        <w:tc>
          <w:tcPr>
            <w:tcW w:w="2130"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网络媒体</w:t>
            </w:r>
          </w:p>
        </w:tc>
        <w:tc>
          <w:tcPr>
            <w:tcW w:w="1644"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30</w:t>
            </w:r>
          </w:p>
        </w:tc>
        <w:tc>
          <w:tcPr>
            <w:tcW w:w="2618"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安全处、陈保全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tcPr>
          <w:p>
            <w:pPr>
              <w:pStyle w:val="6"/>
              <w:numPr>
                <w:ilvl w:val="0"/>
                <w:numId w:val="0"/>
              </w:numPr>
              <w:rPr>
                <w:rFonts w:hint="eastAsia" w:ascii="仿宋" w:hAnsi="仿宋" w:eastAsia="仿宋" w:cs="仿宋"/>
                <w:sz w:val="32"/>
                <w:szCs w:val="32"/>
                <w:vertAlign w:val="baseline"/>
                <w:lang w:val="en-US" w:eastAsia="zh-CN"/>
              </w:rPr>
            </w:pPr>
          </w:p>
        </w:tc>
        <w:tc>
          <w:tcPr>
            <w:tcW w:w="2130" w:type="dxa"/>
            <w:vMerge w:val="restart"/>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自媒体</w:t>
            </w:r>
          </w:p>
        </w:tc>
        <w:tc>
          <w:tcPr>
            <w:tcW w:w="1644"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微信公众号</w:t>
            </w:r>
          </w:p>
        </w:tc>
        <w:tc>
          <w:tcPr>
            <w:tcW w:w="2618"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龚能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tcPr>
          <w:p>
            <w:pPr>
              <w:pStyle w:val="6"/>
              <w:numPr>
                <w:ilvl w:val="0"/>
                <w:numId w:val="0"/>
              </w:numPr>
              <w:rPr>
                <w:rFonts w:hint="eastAsia" w:ascii="仿宋" w:hAnsi="仿宋" w:eastAsia="仿宋" w:cs="仿宋"/>
                <w:sz w:val="32"/>
                <w:szCs w:val="32"/>
                <w:vertAlign w:val="baseline"/>
                <w:lang w:val="en-US" w:eastAsia="zh-CN"/>
              </w:rPr>
            </w:pPr>
          </w:p>
        </w:tc>
        <w:tc>
          <w:tcPr>
            <w:tcW w:w="2130" w:type="dxa"/>
            <w:vMerge w:val="continue"/>
          </w:tcPr>
          <w:p>
            <w:pPr>
              <w:pStyle w:val="6"/>
              <w:numPr>
                <w:ilvl w:val="0"/>
                <w:numId w:val="0"/>
              </w:numPr>
              <w:rPr>
                <w:rFonts w:hint="eastAsia" w:ascii="仿宋" w:hAnsi="仿宋" w:eastAsia="仿宋" w:cs="仿宋"/>
                <w:sz w:val="32"/>
                <w:szCs w:val="32"/>
                <w:vertAlign w:val="baseline"/>
                <w:lang w:val="en-US" w:eastAsia="zh-CN"/>
              </w:rPr>
            </w:pPr>
          </w:p>
        </w:tc>
        <w:tc>
          <w:tcPr>
            <w:tcW w:w="1644"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美篇</w:t>
            </w:r>
          </w:p>
        </w:tc>
        <w:tc>
          <w:tcPr>
            <w:tcW w:w="2618"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杨东宇、安娟、汪文海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0" w:type="dxa"/>
            <w:gridSpan w:val="2"/>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合计</w:t>
            </w:r>
          </w:p>
        </w:tc>
        <w:tc>
          <w:tcPr>
            <w:tcW w:w="4262" w:type="dxa"/>
            <w:gridSpan w:val="2"/>
          </w:tcPr>
          <w:p>
            <w:pPr>
              <w:pStyle w:val="6"/>
              <w:numPr>
                <w:ilvl w:val="0"/>
                <w:numId w:val="0"/>
              </w:numPr>
              <w:rPr>
                <w:rFonts w:hint="eastAsia" w:ascii="仿宋" w:hAnsi="仿宋" w:eastAsia="仿宋" w:cs="仿宋"/>
                <w:sz w:val="32"/>
                <w:szCs w:val="32"/>
                <w:vertAlign w:val="baseline"/>
                <w:lang w:val="en-US" w:eastAsia="zh-CN"/>
              </w:rPr>
            </w:pPr>
          </w:p>
        </w:tc>
      </w:tr>
    </w:tbl>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我们抓住了自媒体兴起的潮流，走在了全区学校的前列，微信公众号的推送和美篇的制作多次受到教育局、业界同行的表彰。这里要专门总结一下双华小学微信公众号的工作。</w:t>
      </w:r>
    </w:p>
    <w:p>
      <w:pPr>
        <w:pStyle w:val="6"/>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drawing>
          <wp:inline distT="0" distB="0" distL="114300" distR="114300">
            <wp:extent cx="5267960" cy="2761615"/>
            <wp:effectExtent l="0" t="0" r="8890" b="635"/>
            <wp:docPr id="2" name="图片 2" descr="公众号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众号1"/>
                    <pic:cNvPicPr>
                      <a:picLocks noChangeAspect="1"/>
                    </pic:cNvPicPr>
                  </pic:nvPicPr>
                  <pic:blipFill>
                    <a:blip r:embed="rId5"/>
                    <a:stretch>
                      <a:fillRect/>
                    </a:stretch>
                  </pic:blipFill>
                  <pic:spPr>
                    <a:xfrm>
                      <a:off x="0" y="0"/>
                      <a:ext cx="5267960" cy="2761615"/>
                    </a:xfrm>
                    <a:prstGeom prst="rect">
                      <a:avLst/>
                    </a:prstGeom>
                  </pic:spPr>
                </pic:pic>
              </a:graphicData>
            </a:graphic>
          </wp:inline>
        </w:drawing>
      </w:r>
    </w:p>
    <w:p>
      <w:pPr>
        <w:pStyle w:val="6"/>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drawing>
          <wp:inline distT="0" distB="0" distL="114300" distR="114300">
            <wp:extent cx="5269865" cy="2755265"/>
            <wp:effectExtent l="0" t="0" r="6985" b="6985"/>
            <wp:docPr id="3" name="图片 3" descr="公众号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公众号2"/>
                    <pic:cNvPicPr>
                      <a:picLocks noChangeAspect="1"/>
                    </pic:cNvPicPr>
                  </pic:nvPicPr>
                  <pic:blipFill>
                    <a:blip r:embed="rId6"/>
                    <a:stretch>
                      <a:fillRect/>
                    </a:stretch>
                  </pic:blipFill>
                  <pic:spPr>
                    <a:xfrm>
                      <a:off x="0" y="0"/>
                      <a:ext cx="5269865" cy="2755265"/>
                    </a:xfrm>
                    <a:prstGeom prst="rect">
                      <a:avLst/>
                    </a:prstGeom>
                  </pic:spPr>
                </pic:pic>
              </a:graphicData>
            </a:graphic>
          </wp:inline>
        </w:drawing>
      </w:r>
    </w:p>
    <w:p>
      <w:pPr>
        <w:pStyle w:val="6"/>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drawing>
          <wp:inline distT="0" distB="0" distL="114300" distR="114300">
            <wp:extent cx="5273675" cy="2807335"/>
            <wp:effectExtent l="0" t="0" r="3175" b="12065"/>
            <wp:docPr id="4" name="图片 4" descr="公众号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公众号3"/>
                    <pic:cNvPicPr>
                      <a:picLocks noChangeAspect="1"/>
                    </pic:cNvPicPr>
                  </pic:nvPicPr>
                  <pic:blipFill>
                    <a:blip r:embed="rId7"/>
                    <a:stretch>
                      <a:fillRect/>
                    </a:stretch>
                  </pic:blipFill>
                  <pic:spPr>
                    <a:xfrm>
                      <a:off x="0" y="0"/>
                      <a:ext cx="5273675" cy="2807335"/>
                    </a:xfrm>
                    <a:prstGeom prst="rect">
                      <a:avLst/>
                    </a:prstGeom>
                  </pic:spPr>
                </pic:pic>
              </a:graphicData>
            </a:graphic>
          </wp:inline>
        </w:drawing>
      </w:r>
    </w:p>
    <w:p>
      <w:pPr>
        <w:pStyle w:val="6"/>
        <w:numPr>
          <w:ilvl w:val="0"/>
          <w:numId w:val="2"/>
        </w:numPr>
        <w:ind w:left="42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党风廉政风正林直，专项治理雨润竹青</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校党支部是引领学校发展的核心，党建工作的管理意义重大，我们认为，党支部的建设，关键在党小组长。3个党小组长尽职尽责完成各项党建工作，蓉城先锋线下课时上报，党风廉政信息报送，支部三会一课……体现出了共产党员的先锋模范作用。</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络员郎永秀同志重新归队，牵头学校专项治理微腐败工作，工作开展富有成效。双华小学党建工作没有在已经取得成都市廉洁学校创建示范学校的基础上止步不前，而是按照上级党组织要求，抓落实，求规范，让双华小学“风正林直，雨润竹青”的校风浸润在竹园的每一个角落。</w:t>
      </w:r>
    </w:p>
    <w:p>
      <w:pPr>
        <w:pStyle w:val="6"/>
        <w:numPr>
          <w:ilvl w:val="0"/>
          <w:numId w:val="4"/>
        </w:numPr>
        <w:ind w:left="420"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拓宽家校联系渠道，促进家校课程精细化</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期，学校家校课程按照“实活联新”的工作原则，进行了大刀阔斧的机制变革，校级家委会进行改选，每班由原有的1名家委会委员增加到3名，学校现有校级家委会委员81人。通过拓宽家校联系渠道，家校互动的渠道更加丰富，家委会构建了支持系统、协调系统、监督系统、传播系统，这四大系统创造了更加透明、实效的班级氛围。营造了强大的正能量，让所有家长融入到这个集体中。全校老师以家访、电话、QQ、微信、超星等形式与家长进行了有效沟通。</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本期，共有11批次家长走进学校，其中家长培训课程8次，家长服务课程3次。家长从学校教育的旁观者，批评者转型成为学校教育的参与者，服务者，吸收家长教育资源，丰富学校课程，让家校联系效能最大化。</w:t>
      </w:r>
    </w:p>
    <w:p>
      <w:pPr>
        <w:pStyle w:val="6"/>
        <w:numPr>
          <w:ilvl w:val="0"/>
          <w:numId w:val="1"/>
        </w:numPr>
        <w:ind w:firstLineChars="0"/>
        <w:rPr>
          <w:rFonts w:hint="eastAsia" w:ascii="黑体" w:hAnsi="黑体" w:eastAsia="黑体" w:cs="黑体"/>
          <w:sz w:val="32"/>
          <w:szCs w:val="32"/>
        </w:rPr>
      </w:pPr>
      <w:r>
        <w:rPr>
          <w:rFonts w:hint="eastAsia" w:ascii="黑体" w:hAnsi="黑体" w:eastAsia="黑体" w:cs="黑体"/>
          <w:sz w:val="32"/>
          <w:szCs w:val="32"/>
          <w:lang w:eastAsia="zh-CN"/>
        </w:rPr>
        <w:t>环境竹园</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双华小学的校园文化建设一直是学校一张靓丽的名片，本期，在以竹文化为外显文化的系统性思维和创新性意识的驱动下，对校园文化进行了一定的革新。</w:t>
      </w:r>
    </w:p>
    <w:p>
      <w:pPr>
        <w:pStyle w:val="6"/>
        <w:numPr>
          <w:ilvl w:val="0"/>
          <w:numId w:val="5"/>
        </w:numPr>
        <w:ind w:leftChars="0"/>
        <w:rPr>
          <w:rFonts w:hint="eastAsia" w:ascii="楷体" w:hAnsi="楷体" w:eastAsia="楷体" w:cs="楷体"/>
          <w:sz w:val="32"/>
          <w:szCs w:val="32"/>
          <w:lang w:eastAsia="zh-CN"/>
        </w:rPr>
      </w:pPr>
      <w:r>
        <w:rPr>
          <w:rFonts w:hint="eastAsia" w:ascii="楷体" w:hAnsi="楷体" w:eastAsia="楷体" w:cs="楷体"/>
          <w:sz w:val="32"/>
          <w:szCs w:val="32"/>
          <w:lang w:eastAsia="zh-CN"/>
        </w:rPr>
        <w:t>少先队文化打造</w:t>
      </w:r>
    </w:p>
    <w:p>
      <w:pPr>
        <w:pStyle w:val="6"/>
        <w:numPr>
          <w:ilvl w:val="0"/>
          <w:numId w:val="6"/>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队歌队旗</w:t>
      </w:r>
    </w:p>
    <w:p>
      <w:pPr>
        <w:pStyle w:val="6"/>
        <w:numPr>
          <w:ilvl w:val="0"/>
          <w:numId w:val="6"/>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绿色竹娃监督岗地贴</w:t>
      </w:r>
    </w:p>
    <w:p>
      <w:pPr>
        <w:pStyle w:val="6"/>
        <w:numPr>
          <w:ilvl w:val="0"/>
          <w:numId w:val="6"/>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橙色文明劝导员地贴</w:t>
      </w:r>
    </w:p>
    <w:p>
      <w:pPr>
        <w:pStyle w:val="6"/>
        <w:numPr>
          <w:ilvl w:val="0"/>
          <w:numId w:val="5"/>
        </w:numPr>
        <w:ind w:leftChars="0"/>
        <w:rPr>
          <w:rFonts w:hint="eastAsia" w:ascii="楷体" w:hAnsi="楷体" w:eastAsia="楷体" w:cs="楷体"/>
          <w:sz w:val="32"/>
          <w:szCs w:val="32"/>
          <w:lang w:eastAsia="zh-CN"/>
        </w:rPr>
      </w:pPr>
      <w:r>
        <w:rPr>
          <w:rFonts w:hint="eastAsia" w:ascii="楷体" w:hAnsi="楷体" w:eastAsia="楷体" w:cs="楷体"/>
          <w:sz w:val="32"/>
          <w:szCs w:val="32"/>
          <w:lang w:eastAsia="zh-CN"/>
        </w:rPr>
        <w:t>安全文化打造</w:t>
      </w:r>
    </w:p>
    <w:p>
      <w:pPr>
        <w:pStyle w:val="6"/>
        <w:numPr>
          <w:ilvl w:val="0"/>
          <w:numId w:val="7"/>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消防栓安全文化</w:t>
      </w:r>
    </w:p>
    <w:p>
      <w:pPr>
        <w:pStyle w:val="6"/>
        <w:numPr>
          <w:ilvl w:val="0"/>
          <w:numId w:val="7"/>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安全地贴</w:t>
      </w:r>
    </w:p>
    <w:p>
      <w:pPr>
        <w:pStyle w:val="6"/>
        <w:numPr>
          <w:ilvl w:val="0"/>
          <w:numId w:val="5"/>
        </w:numPr>
        <w:ind w:leftChars="0"/>
        <w:rPr>
          <w:rFonts w:hint="eastAsia" w:ascii="楷体" w:hAnsi="楷体" w:eastAsia="楷体" w:cs="楷体"/>
          <w:sz w:val="32"/>
          <w:szCs w:val="32"/>
          <w:lang w:eastAsia="zh-CN"/>
        </w:rPr>
      </w:pPr>
      <w:r>
        <w:rPr>
          <w:rFonts w:hint="eastAsia" w:ascii="楷体" w:hAnsi="楷体" w:eastAsia="楷体" w:cs="楷体"/>
          <w:sz w:val="32"/>
          <w:szCs w:val="32"/>
          <w:lang w:eastAsia="zh-CN"/>
        </w:rPr>
        <w:t>班级文化建设</w:t>
      </w:r>
    </w:p>
    <w:p>
      <w:pPr>
        <w:pStyle w:val="6"/>
        <w:numPr>
          <w:ilvl w:val="0"/>
          <w:numId w:val="8"/>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黑板报</w:t>
      </w:r>
    </w:p>
    <w:p>
      <w:pPr>
        <w:pStyle w:val="6"/>
        <w:numPr>
          <w:ilvl w:val="0"/>
          <w:numId w:val="8"/>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班级展台</w:t>
      </w:r>
    </w:p>
    <w:p>
      <w:pPr>
        <w:pStyle w:val="6"/>
        <w:numPr>
          <w:ilvl w:val="0"/>
          <w:numId w:val="5"/>
        </w:numPr>
        <w:ind w:leftChars="0"/>
        <w:rPr>
          <w:rFonts w:hint="eastAsia" w:ascii="楷体" w:hAnsi="楷体" w:eastAsia="楷体" w:cs="楷体"/>
          <w:sz w:val="32"/>
          <w:szCs w:val="32"/>
          <w:lang w:eastAsia="zh-CN"/>
        </w:rPr>
      </w:pPr>
      <w:r>
        <w:rPr>
          <w:rFonts w:hint="eastAsia" w:ascii="楷体" w:hAnsi="楷体" w:eastAsia="楷体" w:cs="楷体"/>
          <w:sz w:val="32"/>
          <w:szCs w:val="32"/>
          <w:lang w:eastAsia="zh-CN"/>
        </w:rPr>
        <w:t>功能室改造</w:t>
      </w:r>
    </w:p>
    <w:p>
      <w:pPr>
        <w:pStyle w:val="6"/>
        <w:numPr>
          <w:ilvl w:val="0"/>
          <w:numId w:val="9"/>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学术厅灯光改造</w:t>
      </w:r>
    </w:p>
    <w:p>
      <w:pPr>
        <w:pStyle w:val="6"/>
        <w:numPr>
          <w:ilvl w:val="0"/>
          <w:numId w:val="9"/>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校史陈列室打造</w:t>
      </w:r>
    </w:p>
    <w:p>
      <w:pPr>
        <w:pStyle w:val="6"/>
        <w:numPr>
          <w:ilvl w:val="0"/>
          <w:numId w:val="9"/>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美术室外课程文化</w:t>
      </w:r>
    </w:p>
    <w:p>
      <w:pPr>
        <w:pStyle w:val="6"/>
        <w:numPr>
          <w:ilvl w:val="0"/>
          <w:numId w:val="9"/>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科学室实验教学课程文化打造</w:t>
      </w:r>
    </w:p>
    <w:p>
      <w:pPr>
        <w:pStyle w:val="6"/>
        <w:numPr>
          <w:ilvl w:val="0"/>
          <w:numId w:val="5"/>
        </w:numPr>
        <w:ind w:leftChars="0"/>
        <w:rPr>
          <w:rFonts w:hint="eastAsia" w:ascii="楷体" w:hAnsi="楷体" w:eastAsia="楷体" w:cs="楷体"/>
          <w:sz w:val="32"/>
          <w:szCs w:val="32"/>
          <w:lang w:eastAsia="zh-CN"/>
        </w:rPr>
      </w:pPr>
      <w:r>
        <w:rPr>
          <w:rFonts w:hint="eastAsia" w:ascii="楷体" w:hAnsi="楷体" w:eastAsia="楷体" w:cs="楷体"/>
          <w:sz w:val="32"/>
          <w:szCs w:val="32"/>
          <w:lang w:eastAsia="zh-CN"/>
        </w:rPr>
        <w:t>展板制作</w:t>
      </w:r>
    </w:p>
    <w:p>
      <w:pPr>
        <w:pStyle w:val="6"/>
        <w:numPr>
          <w:ilvl w:val="0"/>
          <w:numId w:val="10"/>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学校课程体系展板设计制作</w:t>
      </w:r>
    </w:p>
    <w:p>
      <w:pPr>
        <w:pStyle w:val="6"/>
        <w:numPr>
          <w:ilvl w:val="0"/>
          <w:numId w:val="10"/>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学校教师发展展板设计制作</w:t>
      </w:r>
    </w:p>
    <w:p>
      <w:pPr>
        <w:pStyle w:val="6"/>
        <w:numPr>
          <w:ilvl w:val="0"/>
          <w:numId w:val="10"/>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各社团介绍展板设计制作</w:t>
      </w:r>
    </w:p>
    <w:p>
      <w:pPr>
        <w:pStyle w:val="6"/>
        <w:numPr>
          <w:ilvl w:val="0"/>
          <w:numId w:val="5"/>
        </w:numPr>
        <w:ind w:leftChars="0"/>
        <w:rPr>
          <w:rFonts w:hint="eastAsia" w:ascii="楷体" w:hAnsi="楷体" w:eastAsia="楷体" w:cs="楷体"/>
          <w:sz w:val="32"/>
          <w:szCs w:val="32"/>
          <w:lang w:eastAsia="zh-CN"/>
        </w:rPr>
      </w:pPr>
      <w:r>
        <w:rPr>
          <w:rFonts w:hint="eastAsia" w:ascii="楷体" w:hAnsi="楷体" w:eastAsia="楷体" w:cs="楷体"/>
          <w:sz w:val="32"/>
          <w:szCs w:val="32"/>
          <w:lang w:eastAsia="zh-CN"/>
        </w:rPr>
        <w:t>党风廉政建设长廊更新</w:t>
      </w:r>
    </w:p>
    <w:p>
      <w:pPr>
        <w:pStyle w:val="6"/>
        <w:numPr>
          <w:ilvl w:val="0"/>
          <w:numId w:val="11"/>
        </w:numPr>
        <w:ind w:left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七德与廉洁红底书法更新</w:t>
      </w:r>
    </w:p>
    <w:p>
      <w:pPr>
        <w:pStyle w:val="6"/>
        <w:numPr>
          <w:ilvl w:val="0"/>
          <w:numId w:val="11"/>
        </w:numPr>
        <w:ind w:left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党风廉政名言警句书法上墙</w:t>
      </w:r>
    </w:p>
    <w:p>
      <w:pPr>
        <w:pStyle w:val="6"/>
        <w:numPr>
          <w:ilvl w:val="0"/>
          <w:numId w:val="5"/>
        </w:numPr>
        <w:ind w:leftChars="0"/>
        <w:rPr>
          <w:rFonts w:hint="eastAsia" w:ascii="楷体" w:hAnsi="楷体" w:eastAsia="楷体" w:cs="楷体"/>
          <w:sz w:val="32"/>
          <w:szCs w:val="32"/>
          <w:lang w:eastAsia="zh-CN"/>
        </w:rPr>
      </w:pPr>
      <w:r>
        <w:rPr>
          <w:rFonts w:hint="eastAsia" w:ascii="楷体" w:hAnsi="楷体" w:eastAsia="楷体" w:cs="楷体"/>
          <w:sz w:val="32"/>
          <w:szCs w:val="32"/>
          <w:lang w:eastAsia="zh-CN"/>
        </w:rPr>
        <w:t>毕业季文化打造</w:t>
      </w:r>
    </w:p>
    <w:p>
      <w:pPr>
        <w:pStyle w:val="6"/>
        <w:numPr>
          <w:ilvl w:val="0"/>
          <w:numId w:val="12"/>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破土拔节成竹凌云拱门设计制作</w:t>
      </w:r>
    </w:p>
    <w:p>
      <w:pPr>
        <w:pStyle w:val="6"/>
        <w:numPr>
          <w:ilvl w:val="0"/>
          <w:numId w:val="12"/>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毕业纪念册设计制作</w:t>
      </w:r>
    </w:p>
    <w:p>
      <w:pPr>
        <w:pStyle w:val="6"/>
        <w:numPr>
          <w:ilvl w:val="0"/>
          <w:numId w:val="12"/>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凌云证书、推荐信设计制作</w:t>
      </w:r>
    </w:p>
    <w:p>
      <w:pPr>
        <w:pStyle w:val="6"/>
        <w:numPr>
          <w:ilvl w:val="0"/>
          <w:numId w:val="12"/>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毕业季文化衫设计制作</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双华小学校园文化建设已经有了更好的规划，更精细的设计，一定会有更精彩的呈现。</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val="en-US" w:eastAsia="zh-CN"/>
        </w:rPr>
      </w:pPr>
    </w:p>
    <w:p>
      <w:pPr>
        <w:pStyle w:val="6"/>
        <w:numPr>
          <w:ilvl w:val="0"/>
          <w:numId w:val="1"/>
        </w:numPr>
        <w:ind w:firstLineChars="0"/>
        <w:rPr>
          <w:rFonts w:hint="eastAsia" w:ascii="黑体" w:hAnsi="黑体" w:eastAsia="黑体" w:cs="黑体"/>
          <w:sz w:val="32"/>
          <w:szCs w:val="32"/>
        </w:rPr>
      </w:pPr>
      <w:r>
        <w:rPr>
          <w:rFonts w:hint="eastAsia" w:ascii="黑体" w:hAnsi="黑体" w:eastAsia="黑体" w:cs="黑体"/>
          <w:sz w:val="32"/>
          <w:szCs w:val="32"/>
          <w:lang w:eastAsia="zh-CN"/>
        </w:rPr>
        <w:t>教学竹园</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eastAsia="zh-CN"/>
        </w:rPr>
        <w:t>本期，在学校教导处的安排下，德育处下设</w:t>
      </w:r>
      <w:r>
        <w:rPr>
          <w:rFonts w:hint="eastAsia" w:ascii="仿宋" w:hAnsi="仿宋" w:eastAsia="仿宋" w:cs="仿宋"/>
          <w:sz w:val="32"/>
          <w:szCs w:val="32"/>
          <w:lang w:val="en-US" w:eastAsia="zh-CN"/>
        </w:rPr>
        <w:t>3个课程处、少先队认真落实国家课程。</w:t>
      </w:r>
    </w:p>
    <w:p>
      <w:pPr>
        <w:pStyle w:val="6"/>
        <w:numPr>
          <w:ilvl w:val="0"/>
          <w:numId w:val="13"/>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班会、少先队活动课</w:t>
      </w:r>
    </w:p>
    <w:p>
      <w:pPr>
        <w:pStyle w:val="6"/>
        <w:numPr>
          <w:ilvl w:val="0"/>
          <w:numId w:val="0"/>
        </w:numPr>
        <w:ind w:left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少先队本期共组织、开展班会、少先队活动课15课时。</w:t>
      </w:r>
    </w:p>
    <w:tbl>
      <w:tblPr>
        <w:tblStyle w:val="4"/>
        <w:tblW w:w="8430" w:type="dxa"/>
        <w:tblInd w:w="-1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fixed"/>
        <w:tblCellMar>
          <w:top w:w="0" w:type="dxa"/>
          <w:left w:w="0" w:type="dxa"/>
          <w:bottom w:w="0" w:type="dxa"/>
          <w:right w:w="0" w:type="dxa"/>
        </w:tblCellMar>
      </w:tblPr>
      <w:tblGrid>
        <w:gridCol w:w="723"/>
        <w:gridCol w:w="1259"/>
        <w:gridCol w:w="1423"/>
        <w:gridCol w:w="688"/>
        <w:gridCol w:w="641"/>
        <w:gridCol w:w="369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fixed"/>
          <w:tblCellMar>
            <w:top w:w="0" w:type="dxa"/>
            <w:left w:w="0" w:type="dxa"/>
            <w:bottom w:w="0" w:type="dxa"/>
            <w:right w:w="0" w:type="dxa"/>
          </w:tblCellMar>
        </w:tblPrEx>
        <w:trPr>
          <w:trHeight w:val="610" w:hRule="atLeast"/>
        </w:trPr>
        <w:tc>
          <w:tcPr>
            <w:tcW w:w="723" w:type="dxa"/>
            <w:shd w:val="clear" w:color="auto" w:fill="FFFFFF"/>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月份</w:t>
            </w:r>
          </w:p>
        </w:tc>
        <w:tc>
          <w:tcPr>
            <w:tcW w:w="1259" w:type="dxa"/>
            <w:shd w:val="clear" w:color="auto" w:fill="FFFFFF"/>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教育主题</w:t>
            </w:r>
          </w:p>
        </w:tc>
        <w:tc>
          <w:tcPr>
            <w:tcW w:w="1423" w:type="dxa"/>
            <w:shd w:val="clear" w:color="auto" w:fill="FFFFFF"/>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黑板报主题</w:t>
            </w:r>
          </w:p>
        </w:tc>
        <w:tc>
          <w:tcPr>
            <w:tcW w:w="688" w:type="dxa"/>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周次</w:t>
            </w:r>
          </w:p>
        </w:tc>
        <w:tc>
          <w:tcPr>
            <w:tcW w:w="641" w:type="dxa"/>
            <w:shd w:val="clear" w:color="auto" w:fill="FFFFFF"/>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日期</w:t>
            </w:r>
          </w:p>
        </w:tc>
        <w:tc>
          <w:tcPr>
            <w:tcW w:w="3696" w:type="dxa"/>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班队会主题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00" w:hRule="atLeast"/>
        </w:trPr>
        <w:tc>
          <w:tcPr>
            <w:tcW w:w="723" w:type="dxa"/>
            <w:vMerge w:val="restart"/>
            <w:shd w:val="clear" w:color="auto" w:fill="FFFFFF"/>
            <w:vAlign w:val="center"/>
          </w:tcPr>
          <w:p>
            <w:pPr>
              <w:widowControl/>
              <w:spacing w:line="240" w:lineRule="auto"/>
              <w:jc w:val="both"/>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二</w:t>
            </w:r>
            <w:r>
              <w:rPr>
                <w:rFonts w:hint="eastAsia" w:ascii="仿宋" w:hAnsi="仿宋" w:eastAsia="仿宋" w:cs="仿宋"/>
                <w:color w:val="000000"/>
                <w:kern w:val="0"/>
                <w:sz w:val="32"/>
                <w:szCs w:val="32"/>
              </w:rPr>
              <w:t>月</w:t>
            </w: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lang w:val="en-US" w:eastAsia="zh-CN"/>
              </w:rPr>
            </w:pP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三月</w:t>
            </w:r>
          </w:p>
        </w:tc>
        <w:tc>
          <w:tcPr>
            <w:tcW w:w="1259" w:type="dxa"/>
            <w:vMerge w:val="restart"/>
            <w:shd w:val="clear" w:color="auto" w:fill="FFFFFF"/>
            <w:vAlign w:val="center"/>
          </w:tcPr>
          <w:p>
            <w:pPr>
              <w:widowControl/>
              <w:spacing w:line="240" w:lineRule="auto"/>
              <w:jc w:val="both"/>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常规教育</w:t>
            </w:r>
          </w:p>
          <w:p>
            <w:pPr>
              <w:widowControl/>
              <w:spacing w:line="240" w:lineRule="auto"/>
              <w:jc w:val="both"/>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安全教育</w:t>
            </w: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美德教育</w:t>
            </w:r>
          </w:p>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感恩教育</w:t>
            </w: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p>
        </w:tc>
        <w:tc>
          <w:tcPr>
            <w:tcW w:w="1423" w:type="dxa"/>
            <w:vMerge w:val="restart"/>
            <w:shd w:val="clear" w:color="auto" w:fill="FFFFFF"/>
            <w:vAlign w:val="center"/>
          </w:tcPr>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1-3年级主题：</w:t>
            </w:r>
          </w:p>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w:t>
            </w:r>
            <w:r>
              <w:rPr>
                <w:rFonts w:hint="eastAsia" w:ascii="仿宋" w:hAnsi="仿宋" w:eastAsia="仿宋" w:cs="仿宋"/>
                <w:color w:val="000000"/>
                <w:sz w:val="32"/>
                <w:szCs w:val="32"/>
                <w:lang w:val="en-US" w:eastAsia="zh-CN"/>
              </w:rPr>
              <w:t>健康与安全</w:t>
            </w:r>
            <w:r>
              <w:rPr>
                <w:rFonts w:hint="eastAsia" w:ascii="仿宋" w:hAnsi="仿宋" w:eastAsia="仿宋" w:cs="仿宋"/>
                <w:color w:val="000000"/>
                <w:kern w:val="0"/>
                <w:sz w:val="32"/>
                <w:szCs w:val="32"/>
                <w:lang w:val="en-US" w:eastAsia="zh-CN"/>
              </w:rPr>
              <w:t>”</w:t>
            </w:r>
          </w:p>
          <w:p>
            <w:pPr>
              <w:widowControl/>
              <w:spacing w:line="240" w:lineRule="auto"/>
              <w:jc w:val="both"/>
              <w:rPr>
                <w:rFonts w:hint="eastAsia" w:ascii="仿宋" w:hAnsi="仿宋" w:eastAsia="仿宋" w:cs="仿宋"/>
                <w:color w:val="000000"/>
                <w:kern w:val="0"/>
                <w:sz w:val="32"/>
                <w:szCs w:val="32"/>
                <w:lang w:val="en-US" w:eastAsia="zh-CN"/>
              </w:rPr>
            </w:pPr>
          </w:p>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4-6年级主题：</w:t>
            </w:r>
          </w:p>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“学习雷锋”</w:t>
            </w:r>
          </w:p>
          <w:p>
            <w:pPr>
              <w:widowControl/>
              <w:spacing w:line="240" w:lineRule="auto"/>
              <w:jc w:val="both"/>
              <w:rPr>
                <w:rFonts w:hint="eastAsia" w:ascii="仿宋" w:hAnsi="仿宋" w:eastAsia="仿宋" w:cs="仿宋"/>
                <w:color w:val="000000"/>
                <w:kern w:val="0"/>
                <w:sz w:val="32"/>
                <w:szCs w:val="32"/>
                <w:lang w:val="en-US" w:eastAsia="zh-CN"/>
              </w:rPr>
            </w:pPr>
          </w:p>
          <w:p>
            <w:pPr>
              <w:widowControl/>
              <w:spacing w:line="240" w:lineRule="auto"/>
              <w:jc w:val="both"/>
              <w:rPr>
                <w:rFonts w:hint="eastAsia" w:ascii="仿宋" w:hAnsi="仿宋" w:eastAsia="仿宋" w:cs="仿宋"/>
                <w:color w:val="000000"/>
                <w:kern w:val="0"/>
                <w:sz w:val="32"/>
                <w:szCs w:val="32"/>
                <w:lang w:val="en-US" w:eastAsia="zh-CN"/>
              </w:rPr>
            </w:pPr>
          </w:p>
          <w:p>
            <w:pPr>
              <w:widowControl/>
              <w:spacing w:line="240" w:lineRule="auto"/>
              <w:jc w:val="both"/>
              <w:rPr>
                <w:rFonts w:hint="eastAsia" w:ascii="仿宋" w:hAnsi="仿宋" w:eastAsia="仿宋" w:cs="仿宋"/>
                <w:color w:val="000000"/>
                <w:kern w:val="0"/>
                <w:sz w:val="32"/>
                <w:szCs w:val="32"/>
                <w:lang w:val="en-US" w:eastAsia="zh-CN"/>
              </w:rPr>
            </w:pPr>
          </w:p>
          <w:p>
            <w:pPr>
              <w:widowControl/>
              <w:spacing w:line="240" w:lineRule="auto"/>
              <w:jc w:val="both"/>
              <w:rPr>
                <w:rFonts w:hint="eastAsia" w:ascii="仿宋" w:hAnsi="仿宋" w:eastAsia="仿宋" w:cs="仿宋"/>
                <w:color w:val="000000"/>
                <w:kern w:val="0"/>
                <w:sz w:val="32"/>
                <w:szCs w:val="32"/>
                <w:lang w:val="en-US" w:eastAsia="zh-CN"/>
              </w:rPr>
            </w:pPr>
          </w:p>
          <w:p>
            <w:pPr>
              <w:widowControl/>
              <w:spacing w:line="240" w:lineRule="auto"/>
              <w:jc w:val="both"/>
              <w:rPr>
                <w:rFonts w:hint="eastAsia" w:ascii="仿宋" w:hAnsi="仿宋" w:eastAsia="仿宋" w:cs="仿宋"/>
                <w:color w:val="000000"/>
                <w:kern w:val="0"/>
                <w:sz w:val="32"/>
                <w:szCs w:val="32"/>
                <w:lang w:val="en-US" w:eastAsia="zh-CN"/>
              </w:rPr>
            </w:pPr>
          </w:p>
          <w:p>
            <w:pPr>
              <w:widowControl/>
              <w:spacing w:line="240" w:lineRule="auto"/>
              <w:jc w:val="both"/>
              <w:rPr>
                <w:rFonts w:hint="eastAsia" w:ascii="仿宋" w:hAnsi="仿宋" w:eastAsia="仿宋" w:cs="仿宋"/>
                <w:color w:val="000000"/>
                <w:kern w:val="0"/>
                <w:sz w:val="32"/>
                <w:szCs w:val="32"/>
                <w:lang w:val="en-US" w:eastAsia="zh-CN"/>
              </w:rPr>
            </w:pPr>
          </w:p>
          <w:p>
            <w:pPr>
              <w:widowControl/>
              <w:spacing w:line="240" w:lineRule="auto"/>
              <w:jc w:val="both"/>
              <w:rPr>
                <w:rFonts w:hint="eastAsia" w:ascii="仿宋" w:hAnsi="仿宋" w:eastAsia="仿宋" w:cs="仿宋"/>
                <w:color w:val="000000"/>
                <w:kern w:val="0"/>
                <w:sz w:val="32"/>
                <w:szCs w:val="32"/>
                <w:lang w:val="en-US" w:eastAsia="zh-CN"/>
              </w:rPr>
            </w:pPr>
          </w:p>
          <w:p>
            <w:pPr>
              <w:widowControl/>
              <w:spacing w:line="240" w:lineRule="auto"/>
              <w:jc w:val="both"/>
              <w:rPr>
                <w:rFonts w:hint="eastAsia" w:ascii="仿宋" w:hAnsi="仿宋" w:eastAsia="仿宋" w:cs="仿宋"/>
                <w:color w:val="000000"/>
                <w:kern w:val="0"/>
                <w:sz w:val="32"/>
                <w:szCs w:val="32"/>
                <w:lang w:val="en-US" w:eastAsia="zh-CN"/>
              </w:rPr>
            </w:pPr>
          </w:p>
        </w:tc>
        <w:tc>
          <w:tcPr>
            <w:tcW w:w="688" w:type="dxa"/>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w:t>
            </w:r>
          </w:p>
        </w:tc>
        <w:tc>
          <w:tcPr>
            <w:tcW w:w="641" w:type="dxa"/>
            <w:shd w:val="clear" w:color="auto" w:fill="FFFFFF"/>
            <w:vAlign w:val="center"/>
          </w:tcPr>
          <w:p>
            <w:pPr>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17</w:t>
            </w:r>
          </w:p>
        </w:tc>
        <w:tc>
          <w:tcPr>
            <w:tcW w:w="3696" w:type="dxa"/>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重温行为规范 争做文明学生（习惯养成教育）</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00" w:hRule="atLeast"/>
        </w:trPr>
        <w:tc>
          <w:tcPr>
            <w:tcW w:w="723" w:type="dxa"/>
            <w:vMerge w:val="continue"/>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259" w:type="dxa"/>
            <w:vMerge w:val="continue"/>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423" w:type="dxa"/>
            <w:vMerge w:val="continue"/>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688" w:type="dxa"/>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w:t>
            </w:r>
          </w:p>
        </w:tc>
        <w:tc>
          <w:tcPr>
            <w:tcW w:w="641" w:type="dxa"/>
            <w:shd w:val="clear" w:color="auto" w:fill="FFFFFF"/>
            <w:vAlign w:val="center"/>
          </w:tcPr>
          <w:p>
            <w:pPr>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24</w:t>
            </w:r>
          </w:p>
        </w:tc>
        <w:tc>
          <w:tcPr>
            <w:tcW w:w="3696" w:type="dxa"/>
            <w:shd w:val="clear" w:color="auto" w:fill="FFFFFF"/>
            <w:tcMar>
              <w:top w:w="0" w:type="dxa"/>
              <w:left w:w="108" w:type="dxa"/>
              <w:bottom w:w="0" w:type="dxa"/>
              <w:right w:w="108" w:type="dxa"/>
            </w:tcMar>
            <w:vAlign w:val="center"/>
          </w:tcPr>
          <w:p>
            <w:pPr>
              <w:widowControl/>
              <w:spacing w:line="240" w:lineRule="auto"/>
              <w:jc w:val="both"/>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 xml:space="preserve"> 诚实是一种美</w:t>
            </w:r>
            <w:r>
              <w:rPr>
                <w:rFonts w:hint="eastAsia" w:ascii="仿宋" w:hAnsi="仿宋" w:eastAsia="仿宋" w:cs="仿宋"/>
                <w:color w:val="000000"/>
                <w:kern w:val="0"/>
                <w:sz w:val="32"/>
                <w:szCs w:val="32"/>
              </w:rPr>
              <w:t>（美德教育）</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00" w:hRule="atLeast"/>
        </w:trPr>
        <w:tc>
          <w:tcPr>
            <w:tcW w:w="723" w:type="dxa"/>
            <w:vMerge w:val="continue"/>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259" w:type="dxa"/>
            <w:vMerge w:val="continue"/>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423" w:type="dxa"/>
            <w:vMerge w:val="continue"/>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688" w:type="dxa"/>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w:t>
            </w:r>
          </w:p>
        </w:tc>
        <w:tc>
          <w:tcPr>
            <w:tcW w:w="641" w:type="dxa"/>
            <w:shd w:val="clear" w:color="auto" w:fill="FFFFFF"/>
            <w:vAlign w:val="center"/>
          </w:tcPr>
          <w:p>
            <w:pPr>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w:t>
            </w:r>
            <w:r>
              <w:rPr>
                <w:rFonts w:hint="eastAsia" w:ascii="仿宋" w:hAnsi="仿宋" w:eastAsia="仿宋" w:cs="仿宋"/>
                <w:color w:val="000000"/>
                <w:kern w:val="0"/>
                <w:sz w:val="32"/>
                <w:szCs w:val="32"/>
                <w:lang w:val="en-US" w:eastAsia="zh-CN"/>
              </w:rPr>
              <w:t>3</w:t>
            </w:r>
          </w:p>
        </w:tc>
        <w:tc>
          <w:tcPr>
            <w:tcW w:w="3696" w:type="dxa"/>
            <w:shd w:val="clear" w:color="auto" w:fill="FFFFFF"/>
            <w:tcMar>
              <w:top w:w="0" w:type="dxa"/>
              <w:left w:w="108" w:type="dxa"/>
              <w:bottom w:w="0" w:type="dxa"/>
              <w:right w:w="108" w:type="dxa"/>
            </w:tcMar>
            <w:vAlign w:val="center"/>
          </w:tcPr>
          <w:p>
            <w:pPr>
              <w:widowControl/>
              <w:spacing w:line="240" w:lineRule="auto"/>
              <w:jc w:val="both"/>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 xml:space="preserve"> 七德七力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00" w:hRule="atLeast"/>
        </w:trPr>
        <w:tc>
          <w:tcPr>
            <w:tcW w:w="723" w:type="dxa"/>
            <w:vMerge w:val="continue"/>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259" w:type="dxa"/>
            <w:vMerge w:val="continue"/>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423" w:type="dxa"/>
            <w:vMerge w:val="continue"/>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688" w:type="dxa"/>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w:t>
            </w:r>
          </w:p>
        </w:tc>
        <w:tc>
          <w:tcPr>
            <w:tcW w:w="641" w:type="dxa"/>
            <w:shd w:val="clear" w:color="auto" w:fill="FFFFFF"/>
            <w:vAlign w:val="center"/>
          </w:tcPr>
          <w:p>
            <w:pPr>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w:t>
            </w:r>
            <w:r>
              <w:rPr>
                <w:rFonts w:hint="eastAsia" w:ascii="仿宋" w:hAnsi="仿宋" w:eastAsia="仿宋" w:cs="仿宋"/>
                <w:color w:val="000000"/>
                <w:kern w:val="0"/>
                <w:sz w:val="32"/>
                <w:szCs w:val="32"/>
                <w:lang w:val="en-US" w:eastAsia="zh-CN"/>
              </w:rPr>
              <w:t>10</w:t>
            </w:r>
          </w:p>
        </w:tc>
        <w:tc>
          <w:tcPr>
            <w:tcW w:w="3696" w:type="dxa"/>
            <w:shd w:val="clear" w:color="auto" w:fill="FFFFFF"/>
            <w:tcMar>
              <w:top w:w="0" w:type="dxa"/>
              <w:left w:w="108" w:type="dxa"/>
              <w:bottom w:w="0" w:type="dxa"/>
              <w:right w:w="108" w:type="dxa"/>
            </w:tcMar>
            <w:vAlign w:val="center"/>
          </w:tcPr>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 xml:space="preserve"> 三八妇女节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270" w:hRule="atLeast"/>
        </w:trPr>
        <w:tc>
          <w:tcPr>
            <w:tcW w:w="723" w:type="dxa"/>
            <w:vMerge w:val="continue"/>
            <w:tcBorders>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259" w:type="dxa"/>
            <w:vMerge w:val="continue"/>
            <w:tcBorders>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423" w:type="dxa"/>
            <w:vMerge w:val="continue"/>
            <w:tcBorders>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688" w:type="dxa"/>
            <w:tcBorders>
              <w:bottom w:val="single" w:color="auto" w:sz="4" w:space="0"/>
            </w:tcBorders>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w:t>
            </w:r>
          </w:p>
        </w:tc>
        <w:tc>
          <w:tcPr>
            <w:tcW w:w="641" w:type="dxa"/>
            <w:tcBorders>
              <w:bottom w:val="single" w:color="auto" w:sz="4" w:space="0"/>
            </w:tcBorders>
            <w:shd w:val="clear" w:color="auto" w:fill="FFFFFF"/>
            <w:vAlign w:val="center"/>
          </w:tcPr>
          <w:p>
            <w:pPr>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w:t>
            </w:r>
            <w:r>
              <w:rPr>
                <w:rFonts w:hint="eastAsia" w:ascii="仿宋" w:hAnsi="仿宋" w:eastAsia="仿宋" w:cs="仿宋"/>
                <w:color w:val="000000"/>
                <w:kern w:val="0"/>
                <w:sz w:val="32"/>
                <w:szCs w:val="32"/>
                <w:lang w:val="en-US" w:eastAsia="zh-CN"/>
              </w:rPr>
              <w:t>17</w:t>
            </w:r>
          </w:p>
        </w:tc>
        <w:tc>
          <w:tcPr>
            <w:tcW w:w="3696" w:type="dxa"/>
            <w:tcBorders>
              <w:bottom w:val="single" w:color="auto" w:sz="4" w:space="0"/>
            </w:tcBorders>
            <w:shd w:val="clear" w:color="auto" w:fill="FFFFFF"/>
            <w:tcMar>
              <w:top w:w="0" w:type="dxa"/>
              <w:left w:w="108" w:type="dxa"/>
              <w:bottom w:w="0" w:type="dxa"/>
              <w:right w:w="108" w:type="dxa"/>
            </w:tcMar>
            <w:vAlign w:val="center"/>
          </w:tcPr>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 xml:space="preserve"> 环保教育（结合植树节活动）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391" w:hRule="atLeast"/>
        </w:trPr>
        <w:tc>
          <w:tcPr>
            <w:tcW w:w="723" w:type="dxa"/>
            <w:vMerge w:val="continue"/>
            <w:tcBorders>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259" w:type="dxa"/>
            <w:vMerge w:val="continue"/>
            <w:tcBorders>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423" w:type="dxa"/>
            <w:vMerge w:val="continue"/>
            <w:tcBorders>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688" w:type="dxa"/>
            <w:tcBorders>
              <w:top w:val="single" w:color="auto" w:sz="4" w:space="0"/>
              <w:bottom w:val="single" w:color="auto" w:sz="4" w:space="0"/>
            </w:tcBorders>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7</w:t>
            </w:r>
          </w:p>
        </w:tc>
        <w:tc>
          <w:tcPr>
            <w:tcW w:w="641" w:type="dxa"/>
            <w:tcBorders>
              <w:top w:val="single" w:color="auto" w:sz="4" w:space="0"/>
              <w:bottom w:val="single" w:color="auto" w:sz="4" w:space="0"/>
            </w:tcBorders>
            <w:shd w:val="clear" w:color="auto" w:fill="FFFFFF"/>
            <w:vAlign w:val="center"/>
          </w:tcPr>
          <w:p>
            <w:pPr>
              <w:spacing w:line="240" w:lineRule="auto"/>
              <w:jc w:val="center"/>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3.24</w:t>
            </w:r>
          </w:p>
        </w:tc>
        <w:tc>
          <w:tcPr>
            <w:tcW w:w="3696" w:type="dxa"/>
            <w:tcBorders>
              <w:top w:val="single" w:color="auto" w:sz="4" w:space="0"/>
              <w:bottom w:val="single" w:color="auto" w:sz="4" w:space="0"/>
            </w:tcBorders>
            <w:shd w:val="clear" w:color="auto" w:fill="FFFFFF"/>
            <w:tcMar>
              <w:top w:w="0" w:type="dxa"/>
              <w:left w:w="108" w:type="dxa"/>
              <w:bottom w:w="0" w:type="dxa"/>
              <w:right w:w="108" w:type="dxa"/>
            </w:tcMar>
            <w:vAlign w:val="center"/>
          </w:tcPr>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 xml:space="preserve"> 七德七力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647" w:hRule="atLeast"/>
        </w:trPr>
        <w:tc>
          <w:tcPr>
            <w:tcW w:w="723" w:type="dxa"/>
            <w:vMerge w:val="continue"/>
            <w:tcBorders>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259" w:type="dxa"/>
            <w:vMerge w:val="continue"/>
            <w:tcBorders>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423" w:type="dxa"/>
            <w:vMerge w:val="continue"/>
            <w:tcBorders>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688" w:type="dxa"/>
            <w:tcBorders>
              <w:top w:val="single" w:color="auto" w:sz="4" w:space="0"/>
              <w:bottom w:val="single" w:color="auto" w:sz="4" w:space="0"/>
            </w:tcBorders>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8</w:t>
            </w:r>
          </w:p>
          <w:p>
            <w:pPr>
              <w:widowControl/>
              <w:spacing w:line="240" w:lineRule="auto"/>
              <w:jc w:val="center"/>
              <w:rPr>
                <w:rFonts w:hint="eastAsia" w:ascii="仿宋" w:hAnsi="仿宋" w:eastAsia="仿宋" w:cs="仿宋"/>
                <w:color w:val="000000"/>
                <w:kern w:val="0"/>
                <w:sz w:val="32"/>
                <w:szCs w:val="32"/>
                <w:lang w:val="en-US" w:eastAsia="zh-CN"/>
              </w:rPr>
            </w:pPr>
          </w:p>
          <w:p>
            <w:pPr>
              <w:widowControl/>
              <w:spacing w:line="240" w:lineRule="auto"/>
              <w:jc w:val="center"/>
              <w:rPr>
                <w:rFonts w:hint="eastAsia" w:ascii="仿宋" w:hAnsi="仿宋" w:eastAsia="仿宋" w:cs="仿宋"/>
                <w:color w:val="000000"/>
                <w:kern w:val="0"/>
                <w:sz w:val="32"/>
                <w:szCs w:val="32"/>
                <w:lang w:val="en-US" w:eastAsia="zh-CN"/>
              </w:rPr>
            </w:pPr>
          </w:p>
          <w:p>
            <w:pPr>
              <w:widowControl/>
              <w:spacing w:line="240" w:lineRule="auto"/>
              <w:jc w:val="center"/>
              <w:rPr>
                <w:rFonts w:hint="eastAsia" w:ascii="仿宋" w:hAnsi="仿宋" w:eastAsia="仿宋" w:cs="仿宋"/>
                <w:color w:val="000000"/>
                <w:kern w:val="0"/>
                <w:sz w:val="32"/>
                <w:szCs w:val="32"/>
                <w:lang w:val="en-US" w:eastAsia="zh-CN"/>
              </w:rPr>
            </w:pPr>
          </w:p>
          <w:p>
            <w:pPr>
              <w:widowControl/>
              <w:spacing w:line="240" w:lineRule="auto"/>
              <w:jc w:val="center"/>
              <w:rPr>
                <w:rFonts w:hint="eastAsia" w:ascii="仿宋" w:hAnsi="仿宋" w:eastAsia="仿宋" w:cs="仿宋"/>
                <w:color w:val="000000"/>
                <w:kern w:val="0"/>
                <w:sz w:val="32"/>
                <w:szCs w:val="32"/>
                <w:lang w:val="en-US" w:eastAsia="zh-CN"/>
              </w:rPr>
            </w:pPr>
          </w:p>
        </w:tc>
        <w:tc>
          <w:tcPr>
            <w:tcW w:w="641" w:type="dxa"/>
            <w:tcBorders>
              <w:top w:val="single" w:color="auto" w:sz="4" w:space="0"/>
              <w:bottom w:val="single" w:color="auto" w:sz="4" w:space="0"/>
            </w:tcBorders>
            <w:shd w:val="clear" w:color="auto" w:fill="FFFFFF"/>
            <w:vAlign w:val="center"/>
          </w:tcPr>
          <w:p>
            <w:pPr>
              <w:spacing w:line="240" w:lineRule="auto"/>
              <w:jc w:val="center"/>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3.31</w:t>
            </w:r>
          </w:p>
          <w:p>
            <w:pPr>
              <w:spacing w:line="240" w:lineRule="auto"/>
              <w:jc w:val="center"/>
              <w:rPr>
                <w:rFonts w:hint="eastAsia" w:ascii="仿宋" w:hAnsi="仿宋" w:eastAsia="仿宋" w:cs="仿宋"/>
                <w:color w:val="000000"/>
                <w:kern w:val="0"/>
                <w:sz w:val="32"/>
                <w:szCs w:val="32"/>
                <w:lang w:val="en-US" w:eastAsia="zh-CN"/>
              </w:rPr>
            </w:pPr>
          </w:p>
          <w:p>
            <w:pPr>
              <w:spacing w:line="240" w:lineRule="auto"/>
              <w:jc w:val="both"/>
              <w:rPr>
                <w:rFonts w:hint="eastAsia" w:ascii="仿宋" w:hAnsi="仿宋" w:eastAsia="仿宋" w:cs="仿宋"/>
                <w:color w:val="000000"/>
                <w:kern w:val="0"/>
                <w:sz w:val="32"/>
                <w:szCs w:val="32"/>
                <w:lang w:val="en-US" w:eastAsia="zh-CN"/>
              </w:rPr>
            </w:pPr>
          </w:p>
          <w:p>
            <w:pPr>
              <w:spacing w:line="240" w:lineRule="auto"/>
              <w:jc w:val="both"/>
              <w:rPr>
                <w:rFonts w:hint="eastAsia" w:ascii="仿宋" w:hAnsi="仿宋" w:eastAsia="仿宋" w:cs="仿宋"/>
                <w:color w:val="000000"/>
                <w:kern w:val="0"/>
                <w:sz w:val="32"/>
                <w:szCs w:val="32"/>
                <w:lang w:val="en-US" w:eastAsia="zh-CN"/>
              </w:rPr>
            </w:pPr>
          </w:p>
          <w:p>
            <w:pPr>
              <w:spacing w:line="240" w:lineRule="auto"/>
              <w:jc w:val="both"/>
              <w:rPr>
                <w:rFonts w:hint="eastAsia" w:ascii="仿宋" w:hAnsi="仿宋" w:eastAsia="仿宋" w:cs="仿宋"/>
                <w:color w:val="000000"/>
                <w:kern w:val="0"/>
                <w:sz w:val="32"/>
                <w:szCs w:val="32"/>
                <w:lang w:val="en-US" w:eastAsia="zh-CN"/>
              </w:rPr>
            </w:pPr>
          </w:p>
          <w:p>
            <w:pPr>
              <w:spacing w:line="240" w:lineRule="auto"/>
              <w:jc w:val="both"/>
              <w:rPr>
                <w:rFonts w:hint="eastAsia" w:ascii="仿宋" w:hAnsi="仿宋" w:eastAsia="仿宋" w:cs="仿宋"/>
                <w:color w:val="000000"/>
                <w:kern w:val="0"/>
                <w:sz w:val="32"/>
                <w:szCs w:val="32"/>
                <w:lang w:val="en-US" w:eastAsia="zh-CN"/>
              </w:rPr>
            </w:pPr>
          </w:p>
        </w:tc>
        <w:tc>
          <w:tcPr>
            <w:tcW w:w="3696" w:type="dxa"/>
            <w:tcBorders>
              <w:top w:val="single" w:color="auto" w:sz="4" w:space="0"/>
              <w:bottom w:val="single" w:color="auto" w:sz="4" w:space="0"/>
            </w:tcBorders>
            <w:shd w:val="clear" w:color="auto" w:fill="FFFFFF"/>
            <w:tcMar>
              <w:top w:w="0" w:type="dxa"/>
              <w:left w:w="108" w:type="dxa"/>
              <w:bottom w:w="0" w:type="dxa"/>
              <w:right w:w="108" w:type="dxa"/>
            </w:tcMar>
            <w:vAlign w:val="center"/>
          </w:tcPr>
          <w:p>
            <w:pPr>
              <w:widowControl/>
              <w:spacing w:line="240" w:lineRule="auto"/>
              <w:ind w:right="-200"/>
              <w:jc w:val="both"/>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安全无小事，人人讲安全</w:t>
            </w:r>
          </w:p>
          <w:p>
            <w:pPr>
              <w:widowControl/>
              <w:spacing w:line="240" w:lineRule="auto"/>
              <w:jc w:val="both"/>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（3.31日全国中小学生安全日</w:t>
            </w: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12" w:hRule="atLeast"/>
        </w:trPr>
        <w:tc>
          <w:tcPr>
            <w:tcW w:w="723" w:type="dxa"/>
            <w:vMerge w:val="restart"/>
            <w:shd w:val="clear" w:color="auto" w:fill="FFFFFF"/>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四月</w:t>
            </w:r>
          </w:p>
        </w:tc>
        <w:tc>
          <w:tcPr>
            <w:tcW w:w="1259" w:type="dxa"/>
            <w:vMerge w:val="restart"/>
            <w:tcBorders>
              <w:top w:val="single" w:color="auto" w:sz="4" w:space="0"/>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美德教育</w:t>
            </w:r>
          </w:p>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安全教育</w:t>
            </w:r>
          </w:p>
          <w:p>
            <w:pPr>
              <w:widowControl/>
              <w:spacing w:line="240" w:lineRule="auto"/>
              <w:jc w:val="center"/>
              <w:rPr>
                <w:rFonts w:hint="eastAsia" w:ascii="仿宋" w:hAnsi="仿宋" w:eastAsia="仿宋" w:cs="仿宋"/>
                <w:color w:val="000000"/>
                <w:kern w:val="0"/>
                <w:sz w:val="32"/>
                <w:szCs w:val="32"/>
              </w:rPr>
            </w:pPr>
          </w:p>
        </w:tc>
        <w:tc>
          <w:tcPr>
            <w:tcW w:w="1423" w:type="dxa"/>
            <w:vMerge w:val="restart"/>
            <w:tcBorders>
              <w:top w:val="single" w:color="auto" w:sz="4" w:space="0"/>
              <w:bottom w:val="single" w:color="auto" w:sz="4" w:space="0"/>
            </w:tcBorders>
            <w:shd w:val="clear" w:color="auto" w:fill="FFFFFF"/>
            <w:vAlign w:val="center"/>
          </w:tcPr>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1-3年级主题：</w:t>
            </w:r>
          </w:p>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w:t>
            </w:r>
            <w:r>
              <w:rPr>
                <w:rFonts w:hint="eastAsia" w:ascii="仿宋" w:hAnsi="仿宋" w:eastAsia="仿宋" w:cs="仿宋"/>
                <w:color w:val="000000"/>
                <w:sz w:val="32"/>
                <w:szCs w:val="32"/>
                <w:lang w:val="en-US" w:eastAsia="zh-CN"/>
              </w:rPr>
              <w:t>环保</w:t>
            </w:r>
            <w:r>
              <w:rPr>
                <w:rFonts w:hint="eastAsia" w:ascii="仿宋" w:hAnsi="仿宋" w:eastAsia="仿宋" w:cs="仿宋"/>
                <w:color w:val="000000"/>
                <w:kern w:val="0"/>
                <w:sz w:val="32"/>
                <w:szCs w:val="32"/>
                <w:lang w:val="en-US" w:eastAsia="zh-CN"/>
              </w:rPr>
              <w:t>”</w:t>
            </w:r>
          </w:p>
          <w:p>
            <w:pPr>
              <w:widowControl/>
              <w:spacing w:line="240" w:lineRule="auto"/>
              <w:jc w:val="both"/>
              <w:rPr>
                <w:rFonts w:hint="eastAsia" w:ascii="仿宋" w:hAnsi="仿宋" w:eastAsia="仿宋" w:cs="仿宋"/>
                <w:color w:val="000000"/>
                <w:kern w:val="0"/>
                <w:sz w:val="32"/>
                <w:szCs w:val="32"/>
                <w:lang w:val="en-US" w:eastAsia="zh-CN"/>
              </w:rPr>
            </w:pPr>
          </w:p>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4-6年级主题：</w:t>
            </w:r>
          </w:p>
          <w:p>
            <w:pPr>
              <w:widowControl/>
              <w:spacing w:line="240" w:lineRule="auto"/>
              <w:jc w:val="both"/>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“心理健康”</w:t>
            </w:r>
          </w:p>
        </w:tc>
        <w:tc>
          <w:tcPr>
            <w:tcW w:w="688" w:type="dxa"/>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9</w:t>
            </w:r>
          </w:p>
        </w:tc>
        <w:tc>
          <w:tcPr>
            <w:tcW w:w="641" w:type="dxa"/>
            <w:shd w:val="clear" w:color="auto" w:fill="FFFFFF"/>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w:t>
            </w:r>
            <w:r>
              <w:rPr>
                <w:rFonts w:hint="eastAsia" w:ascii="仿宋" w:hAnsi="仿宋" w:eastAsia="仿宋" w:cs="仿宋"/>
                <w:color w:val="000000"/>
                <w:kern w:val="0"/>
                <w:sz w:val="32"/>
                <w:szCs w:val="32"/>
                <w:lang w:val="en-US" w:eastAsia="zh-CN"/>
              </w:rPr>
              <w:t>7</w:t>
            </w:r>
          </w:p>
        </w:tc>
        <w:tc>
          <w:tcPr>
            <w:tcW w:w="3696" w:type="dxa"/>
            <w:shd w:val="clear" w:color="auto" w:fill="FFFFFF"/>
            <w:tcMar>
              <w:top w:w="0" w:type="dxa"/>
              <w:left w:w="108" w:type="dxa"/>
              <w:bottom w:w="0" w:type="dxa"/>
              <w:right w:w="108" w:type="dxa"/>
            </w:tcMar>
            <w:vAlign w:val="top"/>
          </w:tcPr>
          <w:p>
            <w:pPr>
              <w:spacing w:line="240" w:lineRule="auto"/>
              <w:rPr>
                <w:rFonts w:hint="eastAsia" w:ascii="仿宋" w:hAnsi="仿宋" w:eastAsia="仿宋" w:cs="仿宋"/>
                <w:color w:val="000000"/>
                <w:kern w:val="0"/>
                <w:sz w:val="32"/>
                <w:szCs w:val="32"/>
                <w:lang w:val="en-US" w:eastAsia="zh-CN"/>
              </w:rPr>
            </w:pP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心理健康教育（呵护心灵）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09" w:hRule="atLeast"/>
        </w:trPr>
        <w:tc>
          <w:tcPr>
            <w:tcW w:w="723" w:type="dxa"/>
            <w:vMerge w:val="continue"/>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259" w:type="dxa"/>
            <w:vMerge w:val="continue"/>
            <w:tcBorders>
              <w:top w:val="single" w:color="auto" w:sz="4" w:space="0"/>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423" w:type="dxa"/>
            <w:vMerge w:val="continue"/>
            <w:tcBorders>
              <w:top w:val="single" w:color="auto" w:sz="4" w:space="0"/>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688" w:type="dxa"/>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10</w:t>
            </w:r>
          </w:p>
        </w:tc>
        <w:tc>
          <w:tcPr>
            <w:tcW w:w="641" w:type="dxa"/>
            <w:shd w:val="clear" w:color="auto" w:fill="FFFFFF"/>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4.1</w:t>
            </w:r>
            <w:r>
              <w:rPr>
                <w:rFonts w:hint="eastAsia" w:ascii="仿宋" w:hAnsi="仿宋" w:eastAsia="仿宋" w:cs="仿宋"/>
                <w:color w:val="000000"/>
                <w:kern w:val="0"/>
                <w:sz w:val="32"/>
                <w:szCs w:val="32"/>
                <w:lang w:val="en-US" w:eastAsia="zh-CN"/>
              </w:rPr>
              <w:t>4</w:t>
            </w:r>
          </w:p>
        </w:tc>
        <w:tc>
          <w:tcPr>
            <w:tcW w:w="3696" w:type="dxa"/>
            <w:shd w:val="clear" w:color="auto" w:fill="FFFFFF"/>
            <w:tcMar>
              <w:top w:w="0" w:type="dxa"/>
              <w:left w:w="108" w:type="dxa"/>
              <w:bottom w:w="0" w:type="dxa"/>
              <w:right w:w="108" w:type="dxa"/>
            </w:tcMar>
            <w:vAlign w:val="center"/>
          </w:tcPr>
          <w:p>
            <w:pPr>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 xml:space="preserve"> 七德七力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00" w:hRule="atLeast"/>
        </w:trPr>
        <w:tc>
          <w:tcPr>
            <w:tcW w:w="723" w:type="dxa"/>
            <w:vMerge w:val="continue"/>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259" w:type="dxa"/>
            <w:vMerge w:val="continue"/>
            <w:tcBorders>
              <w:top w:val="single" w:color="auto" w:sz="4" w:space="0"/>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423" w:type="dxa"/>
            <w:vMerge w:val="continue"/>
            <w:tcBorders>
              <w:top w:val="single" w:color="auto" w:sz="4" w:space="0"/>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688" w:type="dxa"/>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11</w:t>
            </w:r>
          </w:p>
        </w:tc>
        <w:tc>
          <w:tcPr>
            <w:tcW w:w="641" w:type="dxa"/>
            <w:shd w:val="clear" w:color="auto" w:fill="FFFFFF"/>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4.2</w:t>
            </w:r>
            <w:r>
              <w:rPr>
                <w:rFonts w:hint="eastAsia" w:ascii="仿宋" w:hAnsi="仿宋" w:eastAsia="仿宋" w:cs="仿宋"/>
                <w:color w:val="000000"/>
                <w:kern w:val="0"/>
                <w:sz w:val="32"/>
                <w:szCs w:val="32"/>
                <w:lang w:val="en-US" w:eastAsia="zh-CN"/>
              </w:rPr>
              <w:t>1</w:t>
            </w:r>
          </w:p>
        </w:tc>
        <w:tc>
          <w:tcPr>
            <w:tcW w:w="3696" w:type="dxa"/>
            <w:shd w:val="clear" w:color="auto" w:fill="FFFFFF"/>
            <w:tcMar>
              <w:top w:w="0" w:type="dxa"/>
              <w:left w:w="108" w:type="dxa"/>
              <w:bottom w:w="0" w:type="dxa"/>
              <w:right w:w="108" w:type="dxa"/>
            </w:tcMar>
            <w:vAlign w:val="center"/>
          </w:tcPr>
          <w:p>
            <w:pPr>
              <w:widowControl/>
              <w:spacing w:line="240" w:lineRule="auto"/>
              <w:jc w:val="both"/>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我和书籍交朋友（4.23世界读书日）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275" w:hRule="atLeast"/>
        </w:trPr>
        <w:tc>
          <w:tcPr>
            <w:tcW w:w="723" w:type="dxa"/>
            <w:vMerge w:val="continue"/>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259" w:type="dxa"/>
            <w:vMerge w:val="continue"/>
            <w:tcBorders>
              <w:top w:val="single" w:color="auto" w:sz="4" w:space="0"/>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423" w:type="dxa"/>
            <w:vMerge w:val="continue"/>
            <w:tcBorders>
              <w:top w:val="single" w:color="auto" w:sz="4" w:space="0"/>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688" w:type="dxa"/>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12</w:t>
            </w:r>
          </w:p>
        </w:tc>
        <w:tc>
          <w:tcPr>
            <w:tcW w:w="641" w:type="dxa"/>
            <w:shd w:val="clear" w:color="auto" w:fill="FFFFFF"/>
            <w:vAlign w:val="center"/>
          </w:tcPr>
          <w:p>
            <w:pPr>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4.2</w:t>
            </w:r>
            <w:r>
              <w:rPr>
                <w:rFonts w:hint="eastAsia" w:ascii="仿宋" w:hAnsi="仿宋" w:eastAsia="仿宋" w:cs="仿宋"/>
                <w:color w:val="000000"/>
                <w:kern w:val="0"/>
                <w:sz w:val="32"/>
                <w:szCs w:val="32"/>
                <w:lang w:val="en-US" w:eastAsia="zh-CN"/>
              </w:rPr>
              <w:t>8</w:t>
            </w:r>
          </w:p>
        </w:tc>
        <w:tc>
          <w:tcPr>
            <w:tcW w:w="3696" w:type="dxa"/>
            <w:shd w:val="clear" w:color="auto" w:fill="FFFFFF"/>
            <w:tcMar>
              <w:top w:w="0" w:type="dxa"/>
              <w:left w:w="108" w:type="dxa"/>
              <w:bottom w:w="0" w:type="dxa"/>
              <w:right w:w="108" w:type="dxa"/>
            </w:tcMar>
            <w:vAlign w:val="center"/>
          </w:tcPr>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 xml:space="preserve"> 七德七力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69" w:hRule="atLeast"/>
        </w:trPr>
        <w:tc>
          <w:tcPr>
            <w:tcW w:w="723" w:type="dxa"/>
            <w:vMerge w:val="restart"/>
            <w:shd w:val="clear" w:color="auto" w:fill="FFFFFF"/>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五月</w:t>
            </w:r>
          </w:p>
        </w:tc>
        <w:tc>
          <w:tcPr>
            <w:tcW w:w="1259" w:type="dxa"/>
            <w:vMerge w:val="restart"/>
            <w:tcBorders>
              <w:top w:val="single" w:color="auto" w:sz="4" w:space="0"/>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感恩教育</w:t>
            </w:r>
          </w:p>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法制教育</w:t>
            </w:r>
          </w:p>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健康教育</w:t>
            </w:r>
          </w:p>
        </w:tc>
        <w:tc>
          <w:tcPr>
            <w:tcW w:w="1423" w:type="dxa"/>
            <w:vMerge w:val="restart"/>
            <w:tcBorders>
              <w:top w:val="single" w:color="auto" w:sz="4" w:space="0"/>
              <w:bottom w:val="single" w:color="auto" w:sz="4" w:space="0"/>
            </w:tcBorders>
            <w:shd w:val="clear" w:color="auto" w:fill="FFFFFF"/>
            <w:vAlign w:val="center"/>
          </w:tcPr>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1-3年级主题：</w:t>
            </w:r>
          </w:p>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“感恩教育”</w:t>
            </w:r>
          </w:p>
          <w:p>
            <w:pPr>
              <w:widowControl/>
              <w:spacing w:line="240" w:lineRule="auto"/>
              <w:jc w:val="both"/>
              <w:rPr>
                <w:rFonts w:hint="eastAsia" w:ascii="仿宋" w:hAnsi="仿宋" w:eastAsia="仿宋" w:cs="仿宋"/>
                <w:color w:val="000000"/>
                <w:kern w:val="0"/>
                <w:sz w:val="32"/>
                <w:szCs w:val="32"/>
                <w:lang w:val="en-US" w:eastAsia="zh-CN"/>
              </w:rPr>
            </w:pPr>
          </w:p>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4-6年级主题：</w:t>
            </w:r>
          </w:p>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“法治教育”</w:t>
            </w:r>
          </w:p>
        </w:tc>
        <w:tc>
          <w:tcPr>
            <w:tcW w:w="688" w:type="dxa"/>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w:t>
            </w:r>
            <w:r>
              <w:rPr>
                <w:rFonts w:hint="eastAsia" w:ascii="仿宋" w:hAnsi="仿宋" w:eastAsia="仿宋" w:cs="仿宋"/>
                <w:color w:val="000000"/>
                <w:kern w:val="0"/>
                <w:sz w:val="32"/>
                <w:szCs w:val="32"/>
                <w:lang w:val="en-US" w:eastAsia="zh-CN"/>
              </w:rPr>
              <w:t>3</w:t>
            </w:r>
          </w:p>
        </w:tc>
        <w:tc>
          <w:tcPr>
            <w:tcW w:w="641" w:type="dxa"/>
            <w:shd w:val="clear" w:color="auto" w:fill="FFFFFF"/>
            <w:vAlign w:val="center"/>
          </w:tcPr>
          <w:p>
            <w:pPr>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w:t>
            </w:r>
            <w:r>
              <w:rPr>
                <w:rFonts w:hint="eastAsia" w:ascii="仿宋" w:hAnsi="仿宋" w:eastAsia="仿宋" w:cs="仿宋"/>
                <w:color w:val="000000"/>
                <w:kern w:val="0"/>
                <w:sz w:val="32"/>
                <w:szCs w:val="32"/>
                <w:lang w:val="en-US" w:eastAsia="zh-CN"/>
              </w:rPr>
              <w:t>5</w:t>
            </w:r>
          </w:p>
        </w:tc>
        <w:tc>
          <w:tcPr>
            <w:tcW w:w="3696" w:type="dxa"/>
            <w:shd w:val="clear" w:color="auto" w:fill="FFFFFF"/>
            <w:tcMar>
              <w:top w:w="0" w:type="dxa"/>
              <w:left w:w="108" w:type="dxa"/>
              <w:bottom w:w="0" w:type="dxa"/>
              <w:right w:w="108" w:type="dxa"/>
            </w:tcMar>
            <w:vAlign w:val="center"/>
          </w:tcPr>
          <w:p>
            <w:pPr>
              <w:widowControl/>
              <w:spacing w:line="240" w:lineRule="auto"/>
              <w:jc w:val="both"/>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温馨五月 感恩母亲 （5.10日母亲节）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32" w:hRule="atLeast"/>
        </w:trPr>
        <w:tc>
          <w:tcPr>
            <w:tcW w:w="723" w:type="dxa"/>
            <w:vMerge w:val="continue"/>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259" w:type="dxa"/>
            <w:vMerge w:val="continue"/>
            <w:tcBorders>
              <w:top w:val="single" w:color="auto" w:sz="4" w:space="0"/>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423" w:type="dxa"/>
            <w:vMerge w:val="continue"/>
            <w:tcBorders>
              <w:top w:val="single" w:color="auto" w:sz="4" w:space="0"/>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688" w:type="dxa"/>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w:t>
            </w:r>
            <w:r>
              <w:rPr>
                <w:rFonts w:hint="eastAsia" w:ascii="仿宋" w:hAnsi="仿宋" w:eastAsia="仿宋" w:cs="仿宋"/>
                <w:color w:val="000000"/>
                <w:kern w:val="0"/>
                <w:sz w:val="32"/>
                <w:szCs w:val="32"/>
                <w:lang w:val="en-US" w:eastAsia="zh-CN"/>
              </w:rPr>
              <w:t>4</w:t>
            </w:r>
          </w:p>
        </w:tc>
        <w:tc>
          <w:tcPr>
            <w:tcW w:w="641" w:type="dxa"/>
            <w:shd w:val="clear" w:color="auto" w:fill="FFFFFF"/>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5.1</w:t>
            </w:r>
            <w:r>
              <w:rPr>
                <w:rFonts w:hint="eastAsia" w:ascii="仿宋" w:hAnsi="仿宋" w:eastAsia="仿宋" w:cs="仿宋"/>
                <w:color w:val="000000"/>
                <w:kern w:val="0"/>
                <w:sz w:val="32"/>
                <w:szCs w:val="32"/>
                <w:lang w:val="en-US" w:eastAsia="zh-CN"/>
              </w:rPr>
              <w:t>2</w:t>
            </w:r>
          </w:p>
        </w:tc>
        <w:tc>
          <w:tcPr>
            <w:tcW w:w="3696" w:type="dxa"/>
            <w:shd w:val="clear" w:color="auto" w:fill="FFFFFF"/>
            <w:tcMar>
              <w:top w:w="0" w:type="dxa"/>
              <w:left w:w="108" w:type="dxa"/>
              <w:bottom w:w="0" w:type="dxa"/>
              <w:right w:w="108" w:type="dxa"/>
            </w:tcMar>
            <w:vAlign w:val="center"/>
          </w:tcPr>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七德七力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610" w:hRule="atLeast"/>
        </w:trPr>
        <w:tc>
          <w:tcPr>
            <w:tcW w:w="723" w:type="dxa"/>
            <w:vMerge w:val="continue"/>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259" w:type="dxa"/>
            <w:vMerge w:val="continue"/>
            <w:tcBorders>
              <w:top w:val="single" w:color="auto" w:sz="4" w:space="0"/>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423" w:type="dxa"/>
            <w:vMerge w:val="continue"/>
            <w:tcBorders>
              <w:top w:val="single" w:color="auto" w:sz="4" w:space="0"/>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688" w:type="dxa"/>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w:t>
            </w:r>
            <w:r>
              <w:rPr>
                <w:rFonts w:hint="eastAsia" w:ascii="仿宋" w:hAnsi="仿宋" w:eastAsia="仿宋" w:cs="仿宋"/>
                <w:color w:val="000000"/>
                <w:kern w:val="0"/>
                <w:sz w:val="32"/>
                <w:szCs w:val="32"/>
                <w:lang w:val="en-US" w:eastAsia="zh-CN"/>
              </w:rPr>
              <w:t>5</w:t>
            </w:r>
            <w:r>
              <w:rPr>
                <w:rFonts w:hint="eastAsia" w:ascii="仿宋" w:hAnsi="仿宋" w:eastAsia="仿宋" w:cs="仿宋"/>
                <w:color w:val="000000"/>
                <w:kern w:val="0"/>
                <w:sz w:val="32"/>
                <w:szCs w:val="32"/>
              </w:rPr>
              <w:t xml:space="preserve">  </w:t>
            </w:r>
          </w:p>
        </w:tc>
        <w:tc>
          <w:tcPr>
            <w:tcW w:w="641" w:type="dxa"/>
            <w:shd w:val="clear" w:color="auto" w:fill="FFFFFF"/>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5.1</w:t>
            </w:r>
            <w:r>
              <w:rPr>
                <w:rFonts w:hint="eastAsia" w:ascii="仿宋" w:hAnsi="仿宋" w:eastAsia="仿宋" w:cs="仿宋"/>
                <w:color w:val="000000"/>
                <w:kern w:val="0"/>
                <w:sz w:val="32"/>
                <w:szCs w:val="32"/>
                <w:lang w:val="en-US" w:eastAsia="zh-CN"/>
              </w:rPr>
              <w:t>9</w:t>
            </w:r>
          </w:p>
        </w:tc>
        <w:tc>
          <w:tcPr>
            <w:tcW w:w="3696" w:type="dxa"/>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健康饮食，让我们更健康（5.20全国学生营养日）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299" w:hRule="atLeast"/>
        </w:trPr>
        <w:tc>
          <w:tcPr>
            <w:tcW w:w="723" w:type="dxa"/>
            <w:vMerge w:val="continue"/>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259" w:type="dxa"/>
            <w:vMerge w:val="continue"/>
            <w:tcBorders>
              <w:top w:val="single" w:color="auto" w:sz="4" w:space="0"/>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1423" w:type="dxa"/>
            <w:vMerge w:val="continue"/>
            <w:tcBorders>
              <w:top w:val="single" w:color="auto" w:sz="4" w:space="0"/>
              <w:bottom w:val="single" w:color="auto" w:sz="4" w:space="0"/>
            </w:tcBorders>
            <w:shd w:val="clear" w:color="auto" w:fill="FFFFFF"/>
            <w:vAlign w:val="center"/>
          </w:tcPr>
          <w:p>
            <w:pPr>
              <w:widowControl/>
              <w:spacing w:line="240" w:lineRule="auto"/>
              <w:jc w:val="center"/>
              <w:rPr>
                <w:rFonts w:hint="eastAsia" w:ascii="仿宋" w:hAnsi="仿宋" w:eastAsia="仿宋" w:cs="仿宋"/>
                <w:color w:val="000000"/>
                <w:kern w:val="0"/>
                <w:sz w:val="32"/>
                <w:szCs w:val="32"/>
              </w:rPr>
            </w:pPr>
          </w:p>
        </w:tc>
        <w:tc>
          <w:tcPr>
            <w:tcW w:w="688" w:type="dxa"/>
            <w:shd w:val="clear" w:color="auto" w:fill="FFFFFF"/>
            <w:tcMar>
              <w:top w:w="0" w:type="dxa"/>
              <w:left w:w="108" w:type="dxa"/>
              <w:bottom w:w="0" w:type="dxa"/>
              <w:right w:w="108" w:type="dxa"/>
            </w:tcMar>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w:t>
            </w:r>
            <w:r>
              <w:rPr>
                <w:rFonts w:hint="eastAsia" w:ascii="仿宋" w:hAnsi="仿宋" w:eastAsia="仿宋" w:cs="仿宋"/>
                <w:color w:val="000000"/>
                <w:kern w:val="0"/>
                <w:sz w:val="32"/>
                <w:szCs w:val="32"/>
                <w:lang w:val="en-US" w:eastAsia="zh-CN"/>
              </w:rPr>
              <w:t>6</w:t>
            </w:r>
          </w:p>
        </w:tc>
        <w:tc>
          <w:tcPr>
            <w:tcW w:w="641" w:type="dxa"/>
            <w:shd w:val="clear" w:color="auto" w:fill="FFFFFF"/>
            <w:vAlign w:val="center"/>
          </w:tcPr>
          <w:p>
            <w:pPr>
              <w:widowControl/>
              <w:spacing w:line="240" w:lineRule="auto"/>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w:t>
            </w:r>
            <w:r>
              <w:rPr>
                <w:rFonts w:hint="eastAsia" w:ascii="仿宋" w:hAnsi="仿宋" w:eastAsia="仿宋" w:cs="仿宋"/>
                <w:color w:val="000000"/>
                <w:kern w:val="0"/>
                <w:sz w:val="32"/>
                <w:szCs w:val="32"/>
                <w:lang w:val="en-US" w:eastAsia="zh-CN"/>
              </w:rPr>
              <w:t>26</w:t>
            </w:r>
          </w:p>
        </w:tc>
        <w:tc>
          <w:tcPr>
            <w:tcW w:w="3696" w:type="dxa"/>
            <w:shd w:val="clear" w:color="auto" w:fill="FFFFFF"/>
            <w:tcMar>
              <w:top w:w="0" w:type="dxa"/>
              <w:left w:w="108" w:type="dxa"/>
              <w:bottom w:w="0" w:type="dxa"/>
              <w:right w:w="108" w:type="dxa"/>
            </w:tcMar>
            <w:vAlign w:val="center"/>
          </w:tcPr>
          <w:p>
            <w:pPr>
              <w:widowControl/>
              <w:spacing w:line="240" w:lineRule="auto"/>
              <w:jc w:val="both"/>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七德七力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643" w:hRule="atLeast"/>
        </w:trPr>
        <w:tc>
          <w:tcPr>
            <w:tcW w:w="723" w:type="dxa"/>
            <w:shd w:val="clear" w:color="auto" w:fill="FFFFFF"/>
            <w:vAlign w:val="center"/>
          </w:tcPr>
          <w:p>
            <w:pPr>
              <w:widowControl/>
              <w:spacing w:line="240" w:lineRule="auto"/>
              <w:jc w:val="both"/>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 六月</w:t>
            </w: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p>
          <w:p>
            <w:pPr>
              <w:widowControl/>
              <w:spacing w:line="240" w:lineRule="auto"/>
              <w:jc w:val="both"/>
              <w:rPr>
                <w:rFonts w:hint="eastAsia" w:ascii="仿宋" w:hAnsi="仿宋" w:eastAsia="仿宋" w:cs="仿宋"/>
                <w:color w:val="000000"/>
                <w:kern w:val="0"/>
                <w:sz w:val="32"/>
                <w:szCs w:val="32"/>
              </w:rPr>
            </w:pPr>
          </w:p>
        </w:tc>
        <w:tc>
          <w:tcPr>
            <w:tcW w:w="7707" w:type="dxa"/>
            <w:gridSpan w:val="5"/>
            <w:tcBorders>
              <w:top w:val="single" w:color="auto" w:sz="4" w:space="0"/>
              <w:bottom w:val="single" w:color="auto" w:sz="4" w:space="0"/>
            </w:tcBorders>
            <w:shd w:val="clear" w:color="auto" w:fill="FFFFFF"/>
            <w:vAlign w:val="center"/>
          </w:tcPr>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安全教育</w:t>
            </w:r>
          </w:p>
          <w:p>
            <w:pPr>
              <w:widowControl/>
              <w:spacing w:line="240" w:lineRule="auto"/>
              <w:jc w:val="both"/>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评优总结</w:t>
            </w:r>
          </w:p>
          <w:p>
            <w:pPr>
              <w:widowControl/>
              <w:spacing w:line="240" w:lineRule="auto"/>
              <w:jc w:val="center"/>
              <w:rPr>
                <w:rFonts w:hint="eastAsia" w:ascii="仿宋" w:hAnsi="仿宋" w:eastAsia="仿宋" w:cs="仿宋"/>
                <w:color w:val="000000"/>
                <w:kern w:val="0"/>
                <w:sz w:val="32"/>
                <w:szCs w:val="32"/>
              </w:rPr>
            </w:pPr>
          </w:p>
        </w:tc>
      </w:tr>
    </w:tbl>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少先队认真设计班会、少先队活动课主题，不炒大锅饭，分层设计，结合传统节日和国际通识的纪念日，设计了丰富的主题。</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本期，班会、少先队活动课依然坚持校本七德七力德育课程，力推国家课程校本化实施。班主任、辅导员认真落实班会和少先队活动课，取得了良好的效果。</w:t>
      </w:r>
    </w:p>
    <w:p>
      <w:pPr>
        <w:pStyle w:val="6"/>
        <w:numPr>
          <w:ilvl w:val="0"/>
          <w:numId w:val="13"/>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《道德与法治》《品德与生活》《品德与社会》</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品格与行为课程处本期认真落实《道德与法治》《品德与生活》《品德与社会》国家课程，响亮提出了“品社不是豆芽科”的口号，学科教师在翠瓶组长的组织下，认真开展教研，尽最大努力内出色地完成了教学任务。</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期品社教研组的一大突破是组织开展了一次校外拓展课程：为大力弘扬“奉献、友爱、互助、进步”的志愿服务精神，用实际行动迎接第54个“学雷锋纪念日活动”。3月9日中午，迎着和煦的春风，双华小学品格与行为课程处环保拓展课程拉开帷幕。60名小小志愿者们在品格与行为课程处老师的带领下，一起走进双华社区进行环保知识宣传和清洁社区卫生活动。活动过程中，孩子们劳动热情高涨，发扬不怕脏、不怕累的精神，以积极认真的态度参与了此项活动，有的手拿垃圾袋，认真清除白色垃圾，清扫污染物；有的向居民发放“共建和谐家园”倡议书、引导广大居民爱护环境。</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次学雷锋环保拓展课程，既丰富社区居民的精神生活，增强了孩子们热爱成都家乡，爱护环境的社会责任感，同时也培养了孩子们的担当力和表达力。队员们用实际行动将中华民族传统美德传承下去，快乐自己，也给其他人树立了榜样，这也是双华小学品格与课程处浸润孩子心灵的一次有益尝试，让孩子们从道德认知走向道德行为！</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品格与行为课程处在拓展课程开发与实施上迈出了坚实的一步。</w:t>
      </w:r>
    </w:p>
    <w:p>
      <w:pPr>
        <w:pStyle w:val="6"/>
        <w:numPr>
          <w:ilvl w:val="0"/>
          <w:numId w:val="13"/>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艺术与审美、健康与安全课程处国家课程校本化实施</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此二课程处在杨婧婧、汪文海及下设教研组长的带领下，在全体教师的努力下，国家课程校本化实施效果良好，详见课程处与教研组总结。</w:t>
      </w:r>
    </w:p>
    <w:p>
      <w:pPr>
        <w:pStyle w:val="6"/>
        <w:numPr>
          <w:ilvl w:val="0"/>
          <w:numId w:val="13"/>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实验教学思想在国家课程实施中的渗透</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实验教学思想是让更多的孩子操作，从实战中将习得的知识转化为能力，本期，借着学校代表成都市迎接四川省实验教学评估检查的东风，我们又一次探寻实验教学的本真，将其精髓在科学、信息技术等学科国家课程实施中进行渗透，让孩子们有更多的机会操作，实战。</w:t>
      </w:r>
    </w:p>
    <w:p>
      <w:pPr>
        <w:pStyle w:val="6"/>
        <w:numPr>
          <w:ilvl w:val="0"/>
          <w:numId w:val="1"/>
        </w:numPr>
        <w:ind w:firstLineChars="0"/>
        <w:rPr>
          <w:rFonts w:hint="eastAsia" w:ascii="黑体" w:hAnsi="黑体" w:eastAsia="黑体" w:cs="黑体"/>
          <w:sz w:val="32"/>
          <w:szCs w:val="32"/>
        </w:rPr>
      </w:pPr>
      <w:r>
        <w:rPr>
          <w:rFonts w:hint="eastAsia" w:ascii="黑体" w:hAnsi="黑体" w:eastAsia="黑体" w:cs="黑体"/>
          <w:sz w:val="32"/>
          <w:szCs w:val="32"/>
          <w:lang w:eastAsia="zh-CN"/>
        </w:rPr>
        <w:t>德育竹园</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由少先队、品格行为课程处、艺术审美课程处、健康安全课程处、乡村学校少年宫管理办公室开发、实施、评价的拓展课程、研究课程构成了德育竹园。</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本期，德育类拓展课程、研究课程如火如荼地实施，成为基础课程的补充和延伸，旨在将知识习得转化为能力养成和提升，打通孩子的道德认知、道德情感、道德意识到道德行为的黑箱，让隐性的道德认知、道德情感、道德意识转化为显性的道德行为。我们做了如下尝试。</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lang w:eastAsia="zh-CN"/>
              </w:rPr>
              <w:t>课程类型</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课程内容</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课程实施形式</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牵头部门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拓展</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凌云季毕业典礼</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学生自主、典礼呈现</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少先队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拓展</w:t>
            </w:r>
            <w:r>
              <w:rPr>
                <w:rFonts w:hint="eastAsia" w:ascii="仿宋" w:hAnsi="仿宋" w:eastAsia="仿宋" w:cs="仿宋"/>
                <w:sz w:val="32"/>
                <w:szCs w:val="32"/>
                <w:vertAlign w:val="baseline"/>
                <w:lang w:val="en-US" w:eastAsia="zh-CN"/>
              </w:rPr>
              <w:t>+探究</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“我爱成都”</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资料搜集、整理分类、小组合作、社会实践、“写、画、说”多种形式呈现</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少先队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拓展</w:t>
            </w:r>
            <w:r>
              <w:rPr>
                <w:rFonts w:hint="eastAsia" w:ascii="仿宋" w:hAnsi="仿宋" w:eastAsia="仿宋" w:cs="仿宋"/>
                <w:sz w:val="32"/>
                <w:szCs w:val="32"/>
                <w:vertAlign w:val="baseline"/>
                <w:lang w:val="en-US" w:eastAsia="zh-CN"/>
              </w:rPr>
              <w:t>+探究</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“我是蓉城小导游”</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资料搜集、整理分类、小组合作、社会实践</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少先队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拓展</w:t>
            </w:r>
            <w:r>
              <w:rPr>
                <w:rFonts w:hint="eastAsia" w:ascii="仿宋" w:hAnsi="仿宋" w:eastAsia="仿宋" w:cs="仿宋"/>
                <w:sz w:val="32"/>
                <w:szCs w:val="32"/>
                <w:vertAlign w:val="baseline"/>
                <w:lang w:val="en-US" w:eastAsia="zh-CN"/>
              </w:rPr>
              <w:t>+探究</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“我给习爷爷说句心里话”</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资料搜集、整理分类、“写、画、说”多种形式呈现</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少先队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拓展</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lang w:val="en-US" w:eastAsia="zh-CN"/>
              </w:rPr>
              <w:t>学雷锋纪念日</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小组合作、社区服务、问卷调查、文明宣传</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品格行为课程处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Align w:val="top"/>
          </w:tcPr>
          <w:p>
            <w:pPr>
              <w:pStyle w:val="6"/>
              <w:numPr>
                <w:ilvl w:val="0"/>
                <w:numId w:val="0"/>
              </w:numPr>
              <w:ind w:left="0" w:leftChars="0" w:firstLine="0" w:firstLineChars="0"/>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拓展</w:t>
            </w:r>
            <w:r>
              <w:rPr>
                <w:rFonts w:hint="eastAsia" w:ascii="仿宋" w:hAnsi="仿宋" w:eastAsia="仿宋" w:cs="仿宋"/>
                <w:sz w:val="32"/>
                <w:szCs w:val="32"/>
                <w:vertAlign w:val="baseline"/>
                <w:lang w:val="en-US" w:eastAsia="zh-CN"/>
              </w:rPr>
              <w:t>+探究</w:t>
            </w:r>
          </w:p>
        </w:tc>
        <w:tc>
          <w:tcPr>
            <w:tcW w:w="2130" w:type="dxa"/>
            <w:vAlign w:val="top"/>
          </w:tcPr>
          <w:p>
            <w:pPr>
              <w:pStyle w:val="6"/>
              <w:numPr>
                <w:ilvl w:val="0"/>
                <w:numId w:val="0"/>
              </w:numPr>
              <w:ind w:left="0" w:leftChars="0" w:firstLine="0" w:firstLineChars="0"/>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端午节传统节日课程</w:t>
            </w:r>
          </w:p>
        </w:tc>
        <w:tc>
          <w:tcPr>
            <w:tcW w:w="2131" w:type="dxa"/>
            <w:vAlign w:val="top"/>
          </w:tcPr>
          <w:p>
            <w:pPr>
              <w:pStyle w:val="6"/>
              <w:numPr>
                <w:ilvl w:val="0"/>
                <w:numId w:val="0"/>
              </w:numPr>
              <w:ind w:left="0" w:leftChars="0" w:firstLine="0" w:firstLineChars="0"/>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资料搜集、小组合作、社会实践、小组呈现</w:t>
            </w:r>
          </w:p>
        </w:tc>
        <w:tc>
          <w:tcPr>
            <w:tcW w:w="2131" w:type="dxa"/>
            <w:vAlign w:val="top"/>
          </w:tcPr>
          <w:p>
            <w:pPr>
              <w:pStyle w:val="6"/>
              <w:numPr>
                <w:ilvl w:val="0"/>
                <w:numId w:val="0"/>
              </w:numPr>
              <w:ind w:left="0" w:leftChars="0" w:firstLine="0" w:firstLineChars="0"/>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少先队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拓展</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志愿者走进双华</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提供传统中华文化课程</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少先队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拓展</w:t>
            </w:r>
            <w:r>
              <w:rPr>
                <w:rFonts w:hint="eastAsia" w:ascii="仿宋" w:hAnsi="仿宋" w:eastAsia="仿宋" w:cs="仿宋"/>
                <w:sz w:val="32"/>
                <w:szCs w:val="32"/>
                <w:vertAlign w:val="baseline"/>
                <w:lang w:val="en-US" w:eastAsia="zh-CN"/>
              </w:rPr>
              <w:t>+探究</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走进“植物园、三星堆”社会实践</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小组合作、社会实践、“写、画、说”多种形式呈现</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少先队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Align w:val="top"/>
          </w:tcPr>
          <w:p>
            <w:pPr>
              <w:pStyle w:val="6"/>
              <w:numPr>
                <w:ilvl w:val="0"/>
                <w:numId w:val="0"/>
              </w:numPr>
              <w:ind w:left="0" w:leftChars="0" w:firstLine="0" w:firstLineChars="0"/>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拓展</w:t>
            </w:r>
          </w:p>
        </w:tc>
        <w:tc>
          <w:tcPr>
            <w:tcW w:w="2130" w:type="dxa"/>
            <w:vAlign w:val="top"/>
          </w:tcPr>
          <w:p>
            <w:pPr>
              <w:pStyle w:val="6"/>
              <w:numPr>
                <w:ilvl w:val="0"/>
                <w:numId w:val="0"/>
              </w:numPr>
              <w:ind w:left="0" w:leftChars="0" w:firstLine="0" w:firstLineChars="0"/>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六一儿童节活动课程</w:t>
            </w:r>
          </w:p>
        </w:tc>
        <w:tc>
          <w:tcPr>
            <w:tcW w:w="2131" w:type="dxa"/>
            <w:vAlign w:val="top"/>
          </w:tcPr>
          <w:p>
            <w:pPr>
              <w:pStyle w:val="6"/>
              <w:numPr>
                <w:ilvl w:val="0"/>
                <w:numId w:val="0"/>
              </w:numPr>
              <w:ind w:left="0" w:leftChars="0" w:firstLine="0" w:firstLineChars="0"/>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班级自主</w:t>
            </w:r>
          </w:p>
        </w:tc>
        <w:tc>
          <w:tcPr>
            <w:tcW w:w="2131" w:type="dxa"/>
            <w:vAlign w:val="top"/>
          </w:tcPr>
          <w:p>
            <w:pPr>
              <w:pStyle w:val="6"/>
              <w:numPr>
                <w:ilvl w:val="0"/>
                <w:numId w:val="0"/>
              </w:numPr>
              <w:ind w:left="0" w:leftChars="0" w:firstLine="0" w:firstLineChars="0"/>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少先队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拓展</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心理健康拓展</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团辅、个辅</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少先队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拓展</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“我爱成都，艺圆双华”校园艺术节</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班级自主、“唱、画、诵”形式呈现</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艺术审美课程处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拓展</w:t>
            </w:r>
            <w:r>
              <w:rPr>
                <w:rFonts w:hint="eastAsia" w:ascii="仿宋" w:hAnsi="仿宋" w:eastAsia="仿宋" w:cs="仿宋"/>
                <w:sz w:val="32"/>
                <w:szCs w:val="32"/>
                <w:vertAlign w:val="baseline"/>
                <w:lang w:val="en-US" w:eastAsia="zh-CN"/>
              </w:rPr>
              <w:t>+探究</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校园田径运动会、体育节</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班级自主、比赛呈现</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健康安全课程处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拓展</w:t>
            </w:r>
            <w:r>
              <w:rPr>
                <w:rFonts w:hint="eastAsia" w:ascii="仿宋" w:hAnsi="仿宋" w:eastAsia="仿宋" w:cs="仿宋"/>
                <w:sz w:val="32"/>
                <w:szCs w:val="32"/>
                <w:vertAlign w:val="baseline"/>
                <w:lang w:val="en-US" w:eastAsia="zh-CN"/>
              </w:rPr>
              <w:t>+探究</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班级体育竞赛、校园足球节</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班级自主、比赛呈现</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健康安全课程处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拓展</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各级各类比赛</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学生当家、比赛呈现</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乡村学校少年宫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拓展</w:t>
            </w:r>
            <w:r>
              <w:rPr>
                <w:rFonts w:hint="eastAsia" w:ascii="仿宋" w:hAnsi="仿宋" w:eastAsia="仿宋" w:cs="仿宋"/>
                <w:sz w:val="32"/>
                <w:szCs w:val="32"/>
                <w:vertAlign w:val="baseline"/>
                <w:lang w:val="en-US" w:eastAsia="zh-CN"/>
              </w:rPr>
              <w:t>+探究</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教育国际化国际交流课程</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学生当家、社会实践</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外事办</w:t>
            </w:r>
          </w:p>
        </w:tc>
      </w:tr>
    </w:tbl>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丰富的德育类拓展、探究课程开发与实施，极大地丰富了学校德育课程体系。课程类型众多，涉及学生范围广，课程实施效果好，评价方式多元，让德育拓展、研究类课程效能最大化。</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我选取其中三项课程向各位进行汇报。</w:t>
      </w:r>
    </w:p>
    <w:p>
      <w:pPr>
        <w:pStyle w:val="6"/>
        <w:numPr>
          <w:ilvl w:val="0"/>
          <w:numId w:val="14"/>
        </w:numPr>
        <w:ind w:leftChars="0"/>
        <w:rPr>
          <w:rFonts w:hint="eastAsia" w:ascii="楷体" w:hAnsi="楷体" w:eastAsia="楷体" w:cs="楷体"/>
          <w:sz w:val="32"/>
          <w:szCs w:val="32"/>
          <w:lang w:eastAsia="zh-CN"/>
        </w:rPr>
      </w:pPr>
      <w:r>
        <w:rPr>
          <w:rFonts w:hint="eastAsia" w:ascii="楷体" w:hAnsi="楷体" w:eastAsia="楷体" w:cs="楷体"/>
          <w:sz w:val="32"/>
          <w:szCs w:val="32"/>
          <w:lang w:eastAsia="zh-CN"/>
        </w:rPr>
        <w:t>毕业季凌云课程</w:t>
      </w:r>
    </w:p>
    <w:p>
      <w:pPr>
        <w:pStyle w:val="6"/>
        <w:numPr>
          <w:ilvl w:val="0"/>
          <w:numId w:val="14"/>
        </w:numPr>
        <w:ind w:leftChars="0"/>
        <w:rPr>
          <w:rFonts w:hint="eastAsia" w:ascii="楷体" w:hAnsi="楷体" w:eastAsia="楷体" w:cs="楷体"/>
          <w:sz w:val="32"/>
          <w:szCs w:val="32"/>
          <w:lang w:eastAsia="zh-CN"/>
        </w:rPr>
      </w:pPr>
      <w:r>
        <w:rPr>
          <w:rFonts w:hint="eastAsia" w:ascii="楷体" w:hAnsi="楷体" w:eastAsia="楷体" w:cs="楷体"/>
          <w:sz w:val="32"/>
          <w:szCs w:val="32"/>
          <w:lang w:eastAsia="zh-CN"/>
        </w:rPr>
        <w:t>心理健康课程</w:t>
      </w:r>
    </w:p>
    <w:p>
      <w:pPr>
        <w:pStyle w:val="6"/>
        <w:numPr>
          <w:ilvl w:val="0"/>
          <w:numId w:val="14"/>
        </w:numPr>
        <w:ind w:leftChars="0"/>
        <w:rPr>
          <w:rFonts w:hint="eastAsia" w:ascii="楷体" w:hAnsi="楷体" w:eastAsia="楷体" w:cs="楷体"/>
          <w:sz w:val="32"/>
          <w:szCs w:val="32"/>
          <w:lang w:eastAsia="zh-CN"/>
        </w:rPr>
      </w:pPr>
      <w:r>
        <w:rPr>
          <w:rFonts w:hint="eastAsia" w:ascii="楷体" w:hAnsi="楷体" w:eastAsia="楷体" w:cs="楷体"/>
          <w:sz w:val="32"/>
          <w:szCs w:val="32"/>
          <w:lang w:eastAsia="zh-CN"/>
        </w:rPr>
        <w:t>乡村学校少年宫社团参加各级各类比赛</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比赛</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成绩</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指导老师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2016年双流区中小学生篮球锦标赛荣获小学男子乙组、男子丙组、女子丙组等四个组别</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一等奖</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何浩、陈永才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2017年双流区中小学生田径运动会</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团体二等奖</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陈永才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val="en-US" w:eastAsia="zh-CN"/>
              </w:rPr>
              <w:t>2017</w:t>
            </w:r>
            <w:r>
              <w:rPr>
                <w:rFonts w:hint="eastAsia" w:ascii="仿宋" w:hAnsi="仿宋" w:eastAsia="仿宋" w:cs="仿宋"/>
                <w:sz w:val="32"/>
                <w:szCs w:val="32"/>
                <w:vertAlign w:val="baseline"/>
                <w:lang w:eastAsia="zh-CN"/>
              </w:rPr>
              <w:t>成都市双流区集体项目运动会长绳比赛</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第</w:t>
            </w:r>
            <w:r>
              <w:rPr>
                <w:rFonts w:hint="eastAsia" w:ascii="仿宋" w:hAnsi="仿宋" w:eastAsia="仿宋" w:cs="仿宋"/>
                <w:sz w:val="32"/>
                <w:szCs w:val="32"/>
                <w:vertAlign w:val="baseline"/>
                <w:lang w:val="en-US" w:eastAsia="zh-CN"/>
              </w:rPr>
              <w:t>3名</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何剑、丁权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2017年双流区中小学生乒乓球锦标赛男子甲组团体、男子乙组团 、女子甲组团体、女子丙组团体</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一等奖</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郎永秀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2017年双流区中小学生乒乓球锦标赛男子丙组团体、女子乙组团体</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二等奖</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郎永秀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2017年双流区中小学生羽毛球锦标赛团体</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一等奖</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王冬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2016年成都市健美操、啦啦操总决赛花球团体</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一等奖</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汪文海、何俊彦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2016年成都市健美操、啦啦操总决赛啦啦操团体</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一等奖</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汪文海、何俊彦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成都市小学生综合运动会篮球比赛</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第</w:t>
            </w:r>
            <w:r>
              <w:rPr>
                <w:rFonts w:hint="eastAsia" w:ascii="仿宋" w:hAnsi="仿宋" w:eastAsia="仿宋" w:cs="仿宋"/>
                <w:sz w:val="32"/>
                <w:szCs w:val="32"/>
                <w:vertAlign w:val="baseline"/>
                <w:lang w:val="en-US" w:eastAsia="zh-CN"/>
              </w:rPr>
              <w:t>4名</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何浩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val="en-US" w:eastAsia="zh-CN"/>
              </w:rPr>
              <w:t>2017</w:t>
            </w:r>
            <w:r>
              <w:rPr>
                <w:rFonts w:hint="eastAsia" w:ascii="仿宋" w:hAnsi="仿宋" w:eastAsia="仿宋" w:cs="仿宋"/>
                <w:sz w:val="32"/>
                <w:szCs w:val="32"/>
                <w:vertAlign w:val="baseline"/>
                <w:lang w:eastAsia="zh-CN"/>
              </w:rPr>
              <w:t>成都市双流区中小学艺术节朗诵比赛</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第</w:t>
            </w:r>
            <w:r>
              <w:rPr>
                <w:rFonts w:hint="eastAsia" w:ascii="仿宋" w:hAnsi="仿宋" w:eastAsia="仿宋" w:cs="仿宋"/>
                <w:sz w:val="32"/>
                <w:szCs w:val="32"/>
                <w:vertAlign w:val="baseline"/>
                <w:lang w:val="en-US" w:eastAsia="zh-CN"/>
              </w:rPr>
              <w:t>3名</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安娟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val="en-US" w:eastAsia="zh-CN"/>
              </w:rPr>
              <w:t>2017</w:t>
            </w:r>
            <w:r>
              <w:rPr>
                <w:rFonts w:hint="eastAsia" w:ascii="仿宋" w:hAnsi="仿宋" w:eastAsia="仿宋" w:cs="仿宋"/>
                <w:sz w:val="32"/>
                <w:szCs w:val="32"/>
                <w:vertAlign w:val="baseline"/>
                <w:lang w:eastAsia="zh-CN"/>
              </w:rPr>
              <w:t>成都市双流区中小学艺术节校园剧比赛</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第</w:t>
            </w:r>
            <w:r>
              <w:rPr>
                <w:rFonts w:hint="eastAsia" w:ascii="仿宋" w:hAnsi="仿宋" w:eastAsia="仿宋" w:cs="仿宋"/>
                <w:sz w:val="32"/>
                <w:szCs w:val="32"/>
                <w:vertAlign w:val="baseline"/>
                <w:lang w:val="en-US" w:eastAsia="zh-CN"/>
              </w:rPr>
              <w:t>2名</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安娟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2017成都市双流区中小学艺术节美术比赛团体</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一等奖</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唐萍、王晶、殷小晰、陈佳欣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2017幸福蓉城家好家风、好家规、好少年家庭文化风采大赛</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一等奖</w:t>
            </w:r>
          </w:p>
        </w:tc>
        <w:tc>
          <w:tcPr>
            <w:tcW w:w="284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安娟</w:t>
            </w:r>
          </w:p>
        </w:tc>
      </w:tr>
    </w:tbl>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双华小学乡村学校少年宫参加各级各类比赛取得了一系列成绩和荣誉，出即战，战即有结果。向所有的指导老师表示祝贺，向相关班级老师表示感谢。在此，我就拿成都市小运会篮球比赛向大家做汇报。</w:t>
      </w:r>
    </w:p>
    <w:p>
      <w:pPr>
        <w:pStyle w:val="6"/>
        <w:numPr>
          <w:ilvl w:val="0"/>
          <w:numId w:val="1"/>
        </w:numPr>
        <w:ind w:firstLineChars="0"/>
        <w:rPr>
          <w:rFonts w:hint="eastAsia" w:ascii="黑体" w:hAnsi="黑体" w:eastAsia="黑体" w:cs="黑体"/>
          <w:sz w:val="32"/>
          <w:szCs w:val="32"/>
        </w:rPr>
      </w:pPr>
      <w:r>
        <w:rPr>
          <w:rFonts w:hint="eastAsia" w:ascii="黑体" w:hAnsi="黑体" w:eastAsia="黑体" w:cs="黑体"/>
          <w:sz w:val="32"/>
          <w:szCs w:val="32"/>
          <w:lang w:eastAsia="zh-CN"/>
        </w:rPr>
        <w:t>评价竹园</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本期，德育处在大量的研究、论证后，迈出了当家竹娃综合素质评价课程改革的第一步。学期初就启动了《擅评价双华人成竹在胸，集金卡小竹娃节节向上》当家竹娃集卡行动， 本次集卡行动的卡片聚焦核心素养，将必备品格落地为竹之七德，将关键能力落地为当家七力，紧紧围绕学校育人目标，分为七德七力两大类，14小类，21种。</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第一大类：七力卡：7小类（命名为担当力、思辩力、行动力，表达力、抗挫力、协调力、创造力），7种。</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第二大类：七德卡：7小类（命名为和、雅、谦、惠、韧、劲、节），14种。</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eastAsia="zh-CN"/>
        </w:rPr>
        <w:t>本期，德育处一共发出七德七力卡</w:t>
      </w:r>
      <w:r>
        <w:rPr>
          <w:rFonts w:hint="eastAsia" w:ascii="仿宋" w:hAnsi="仿宋" w:eastAsia="仿宋" w:cs="仿宋"/>
          <w:sz w:val="32"/>
          <w:szCs w:val="32"/>
          <w:lang w:val="en-US" w:eastAsia="zh-CN"/>
        </w:rPr>
        <w:t>25200张，其中，集齐21张全套卡并兑换的学生达214人次，两次集齐21张全套卡的学生有12人，学生个体最多集到卡的张数为67张。</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在当家竹娃综合素质评价课程的探索“一石激起千层浪”，以评价改革撬动整个课程体系，全校师生集体卷入，渗透到学校教育的各个角落，积极调动了老师、学生的积极性，助力学生行为习惯养成，助推课堂组织教学和班级管理，让评价的效能最大化。</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en-US" w:eastAsia="zh-CN"/>
        </w:rPr>
        <w:t>当然，在改革的过程中，我们还是遇到了这样那样的问题，我将在下学期初对本次集卡行做全面总结并部署评价改革新方案。</w:t>
      </w:r>
    </w:p>
    <w:p>
      <w:pPr>
        <w:pStyle w:val="6"/>
        <w:numPr>
          <w:ilvl w:val="0"/>
          <w:numId w:val="1"/>
        </w:numPr>
        <w:ind w:firstLineChars="0"/>
        <w:rPr>
          <w:rFonts w:hint="eastAsia" w:ascii="黑体" w:hAnsi="黑体" w:eastAsia="黑体" w:cs="黑体"/>
          <w:sz w:val="32"/>
          <w:szCs w:val="32"/>
        </w:rPr>
      </w:pPr>
      <w:r>
        <w:rPr>
          <w:rFonts w:hint="eastAsia" w:ascii="黑体" w:hAnsi="黑体" w:eastAsia="黑体" w:cs="黑体"/>
          <w:sz w:val="32"/>
          <w:szCs w:val="32"/>
          <w:lang w:eastAsia="zh-CN"/>
        </w:rPr>
        <w:t>德育课程建设效能年规划</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优先发展项目</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项目实施方式</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预期目标</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项目申请预算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当家竹娃综合素质评价课程改革</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成立专项工作小组。课题立项，专家引领，全面改革</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建立“</w:t>
            </w:r>
            <w:r>
              <w:rPr>
                <w:rFonts w:hint="eastAsia" w:ascii="仿宋" w:hAnsi="仿宋" w:eastAsia="仿宋" w:cs="仿宋"/>
                <w:sz w:val="32"/>
                <w:szCs w:val="32"/>
                <w:vertAlign w:val="baseline"/>
                <w:lang w:val="en-US" w:eastAsia="zh-CN"/>
              </w:rPr>
              <w:t>442N</w:t>
            </w:r>
            <w:r>
              <w:rPr>
                <w:rFonts w:hint="eastAsia" w:ascii="仿宋" w:hAnsi="仿宋" w:eastAsia="仿宋" w:cs="仿宋"/>
                <w:sz w:val="32"/>
                <w:szCs w:val="32"/>
                <w:vertAlign w:val="baseline"/>
                <w:lang w:eastAsia="zh-CN"/>
              </w:rPr>
              <w:t>”（暂定）当家竹娃综合素质评价校本体系并在实践中不断优化。</w:t>
            </w:r>
          </w:p>
        </w:tc>
        <w:tc>
          <w:tcPr>
            <w:tcW w:w="2131" w:type="dxa"/>
          </w:tcPr>
          <w:p>
            <w:pPr>
              <w:pStyle w:val="6"/>
              <w:numPr>
                <w:ilvl w:val="0"/>
                <w:numId w:val="0"/>
              </w:numPr>
              <w:rPr>
                <w:rFonts w:hint="eastAsia" w:ascii="仿宋" w:hAnsi="仿宋" w:eastAsia="仿宋" w:cs="仿宋"/>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师德师风建设与教师德育技能培训</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成立专项工作小组。问卷调查、多元主题教育、外出培训、建立专项工作室</w:t>
            </w:r>
          </w:p>
        </w:tc>
        <w:tc>
          <w:tcPr>
            <w:tcW w:w="2131" w:type="dxa"/>
          </w:tcPr>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eastAsia="zh-CN"/>
              </w:rPr>
              <w:t>学校师德师风满意率趋近</w:t>
            </w:r>
            <w:r>
              <w:rPr>
                <w:rFonts w:hint="eastAsia" w:ascii="仿宋" w:hAnsi="仿宋" w:eastAsia="仿宋" w:cs="仿宋"/>
                <w:sz w:val="32"/>
                <w:szCs w:val="32"/>
                <w:vertAlign w:val="baseline"/>
                <w:lang w:val="en-US" w:eastAsia="zh-CN"/>
              </w:rPr>
              <w:t>100%。无师德师风败坏衍生事件。</w:t>
            </w:r>
          </w:p>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运行学校名班主任（名少先队辅导员）工作室。</w:t>
            </w:r>
          </w:p>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竹篱雅舍运行方式由理论案例学习走向教师德育能力提升，并取得实际效果。</w:t>
            </w:r>
          </w:p>
          <w:p>
            <w:pPr>
              <w:pStyle w:val="6"/>
              <w:numPr>
                <w:ilvl w:val="0"/>
                <w:numId w:val="0"/>
              </w:num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培养成都市优秀德育工作者、成都市优秀班主任1名。培养双流区优秀德育工作者，优秀班主任3名。</w:t>
            </w:r>
          </w:p>
        </w:tc>
        <w:tc>
          <w:tcPr>
            <w:tcW w:w="2131" w:type="dxa"/>
          </w:tcPr>
          <w:p>
            <w:pPr>
              <w:pStyle w:val="6"/>
              <w:numPr>
                <w:ilvl w:val="0"/>
                <w:numId w:val="0"/>
              </w:numPr>
              <w:rPr>
                <w:rFonts w:hint="eastAsia" w:ascii="仿宋" w:hAnsi="仿宋" w:eastAsia="仿宋" w:cs="仿宋"/>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破土季始学课程与凌云季毕业课程</w:t>
            </w:r>
          </w:p>
        </w:tc>
        <w:tc>
          <w:tcPr>
            <w:tcW w:w="2130"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成立专项工作小组。明晰课程目标，</w:t>
            </w:r>
          </w:p>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创新课程开发方式，扎实课程实施过程，丰富课程评价方式</w:t>
            </w:r>
          </w:p>
        </w:tc>
        <w:tc>
          <w:tcPr>
            <w:tcW w:w="2131" w:type="dxa"/>
          </w:tcPr>
          <w:p>
            <w:pPr>
              <w:pStyle w:val="6"/>
              <w:numPr>
                <w:ilvl w:val="0"/>
                <w:numId w:val="0"/>
              </w:numP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建立双华小学校本品牌化始学课程与毕业课程，抓好一头一尾。</w:t>
            </w:r>
          </w:p>
        </w:tc>
        <w:tc>
          <w:tcPr>
            <w:tcW w:w="2131" w:type="dxa"/>
          </w:tcPr>
          <w:p>
            <w:pPr>
              <w:pStyle w:val="6"/>
              <w:numPr>
                <w:ilvl w:val="0"/>
                <w:numId w:val="0"/>
              </w:numPr>
              <w:rPr>
                <w:rFonts w:hint="eastAsia" w:ascii="仿宋" w:hAnsi="仿宋" w:eastAsia="仿宋" w:cs="仿宋"/>
                <w:sz w:val="32"/>
                <w:szCs w:val="32"/>
                <w:vertAlign w:val="baseline"/>
              </w:rPr>
            </w:pPr>
          </w:p>
        </w:tc>
      </w:tr>
    </w:tbl>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在做好常规的基础上，优先发展项目优先发展，不断丰富德育课程建设助推学校德育精细化管理效能最大化。</w:t>
      </w:r>
    </w:p>
    <w:p>
      <w:pPr>
        <w:pStyle w:val="6"/>
        <w:numPr>
          <w:numId w:val="0"/>
        </w:numPr>
        <w:ind w:leftChars="0"/>
        <w:rPr>
          <w:rFonts w:hint="eastAsia" w:ascii="黑体" w:hAnsi="黑体" w:eastAsia="黑体" w:cs="黑体"/>
          <w:sz w:val="32"/>
          <w:szCs w:val="32"/>
        </w:rPr>
      </w:pPr>
      <w:bookmarkStart w:id="0" w:name="_GoBack"/>
      <w:bookmarkEnd w:id="0"/>
      <w:r>
        <w:rPr>
          <w:rFonts w:hint="eastAsia" w:ascii="黑体" w:hAnsi="黑体" w:eastAsia="黑体" w:cs="黑体"/>
          <w:sz w:val="32"/>
          <w:szCs w:val="32"/>
          <w:lang w:eastAsia="zh-CN"/>
        </w:rPr>
        <w:t>结束语</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荣誉与成绩是可见的，荣誉与成绩背后是德育课程建设“聚焦核心素养，发扬七德七力；依托精细管理，提高管理效能”的精准定位，是“相信每一个孩子都有当家的潜质”的德育育人理念，是“实、活、联、新”的德育课程工作原则，是学校领导的坚强领导，是全校教师的勠力同心。</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eastAsia="zh-CN"/>
        </w:rPr>
        <w:t>我们的双华，在德育课程建设的道路上已经走到了全市全区的前列，我们站在“新优质学校”的优质品牌上，坚持双华“谋定而后动的行事风范”、“敢闯敢为的精神”、“生命息息、荣辱与共的家园情怀”的当家精神，为孩子们提供更多的选择和可能性，在追求卓越的道路上不断前行，双华的德育课程，一定会从优质走向卓越！</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Sherlocode">
    <w:altName w:val="Segoe Print"/>
    <w:panose1 w:val="00000000000000000000"/>
    <w:charset w:val="00"/>
    <w:family w:val="auto"/>
    <w:pitch w:val="default"/>
    <w:sig w:usb0="00000000" w:usb1="00000000" w:usb2="00000000" w:usb3="00000000" w:csb0="20000111" w:csb1="40000000"/>
  </w:font>
  <w:font w:name="SentyBrush">
    <w:altName w:val="Vivaldi"/>
    <w:panose1 w:val="03000600000000000000"/>
    <w:charset w:val="00"/>
    <w:family w:val="auto"/>
    <w:pitch w:val="default"/>
    <w:sig w:usb0="00000000" w:usb1="00000000" w:usb2="00000000" w:usb3="00000000" w:csb0="00000001" w:csb1="00000000"/>
  </w:font>
  <w:font w:name="华文彩云">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MasterPan">
    <w:altName w:val="Segoe Print"/>
    <w:panose1 w:val="00020600040101010101"/>
    <w:charset w:val="00"/>
    <w:family w:val="auto"/>
    <w:pitch w:val="default"/>
    <w:sig w:usb0="00000000" w:usb1="00000000" w:usb2="00000016" w:usb3="00000000" w:csb0="00000003" w:csb1="00900000"/>
  </w:font>
  <w:font w:name="Segoe Print">
    <w:panose1 w:val="02000600000000000000"/>
    <w:charset w:val="00"/>
    <w:family w:val="auto"/>
    <w:pitch w:val="default"/>
    <w:sig w:usb0="0000028F" w:usb1="00000000" w:usb2="00000000" w:usb3="00000000" w:csb0="2000009F" w:csb1="47010000"/>
  </w:font>
  <w:font w:name="Vivaldi">
    <w:panose1 w:val="03020602050506090804"/>
    <w:charset w:val="00"/>
    <w:family w:val="auto"/>
    <w:pitch w:val="default"/>
    <w:sig w:usb0="00000003" w:usb1="00000000" w:usb2="00000000" w:usb3="00000000" w:csb0="2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4DB71C"/>
    <w:multiLevelType w:val="singleLevel"/>
    <w:tmpl w:val="594DB71C"/>
    <w:lvl w:ilvl="0" w:tentative="0">
      <w:start w:val="2"/>
      <w:numFmt w:val="chineseCounting"/>
      <w:suff w:val="nothing"/>
      <w:lvlText w:val="(%1)"/>
      <w:lvlJc w:val="left"/>
    </w:lvl>
  </w:abstractNum>
  <w:abstractNum w:abstractNumId="1">
    <w:nsid w:val="594DCFBB"/>
    <w:multiLevelType w:val="singleLevel"/>
    <w:tmpl w:val="594DCFBB"/>
    <w:lvl w:ilvl="0" w:tentative="0">
      <w:start w:val="1"/>
      <w:numFmt w:val="decimal"/>
      <w:suff w:val="nothing"/>
      <w:lvlText w:val="%1."/>
      <w:lvlJc w:val="left"/>
    </w:lvl>
  </w:abstractNum>
  <w:abstractNum w:abstractNumId="2">
    <w:nsid w:val="594F1887"/>
    <w:multiLevelType w:val="singleLevel"/>
    <w:tmpl w:val="594F1887"/>
    <w:lvl w:ilvl="0" w:tentative="0">
      <w:start w:val="9"/>
      <w:numFmt w:val="chineseCounting"/>
      <w:suff w:val="nothing"/>
      <w:lvlText w:val="（%1）"/>
      <w:lvlJc w:val="left"/>
    </w:lvl>
  </w:abstractNum>
  <w:abstractNum w:abstractNumId="3">
    <w:nsid w:val="594F1FFB"/>
    <w:multiLevelType w:val="singleLevel"/>
    <w:tmpl w:val="594F1FFB"/>
    <w:lvl w:ilvl="0" w:tentative="0">
      <w:start w:val="1"/>
      <w:numFmt w:val="chineseCounting"/>
      <w:suff w:val="nothing"/>
      <w:lvlText w:val="（%1）"/>
      <w:lvlJc w:val="left"/>
    </w:lvl>
  </w:abstractNum>
  <w:abstractNum w:abstractNumId="4">
    <w:nsid w:val="594F2025"/>
    <w:multiLevelType w:val="singleLevel"/>
    <w:tmpl w:val="594F2025"/>
    <w:lvl w:ilvl="0" w:tentative="0">
      <w:start w:val="1"/>
      <w:numFmt w:val="decimal"/>
      <w:suff w:val="nothing"/>
      <w:lvlText w:val="%1."/>
      <w:lvlJc w:val="left"/>
    </w:lvl>
  </w:abstractNum>
  <w:abstractNum w:abstractNumId="5">
    <w:nsid w:val="594F207D"/>
    <w:multiLevelType w:val="singleLevel"/>
    <w:tmpl w:val="594F207D"/>
    <w:lvl w:ilvl="0" w:tentative="0">
      <w:start w:val="1"/>
      <w:numFmt w:val="decimal"/>
      <w:suff w:val="nothing"/>
      <w:lvlText w:val="%1."/>
      <w:lvlJc w:val="left"/>
    </w:lvl>
  </w:abstractNum>
  <w:abstractNum w:abstractNumId="6">
    <w:nsid w:val="594F20B6"/>
    <w:multiLevelType w:val="singleLevel"/>
    <w:tmpl w:val="594F20B6"/>
    <w:lvl w:ilvl="0" w:tentative="0">
      <w:start w:val="1"/>
      <w:numFmt w:val="decimal"/>
      <w:suff w:val="nothing"/>
      <w:lvlText w:val="%1."/>
      <w:lvlJc w:val="left"/>
    </w:lvl>
  </w:abstractNum>
  <w:abstractNum w:abstractNumId="7">
    <w:nsid w:val="594F20E5"/>
    <w:multiLevelType w:val="singleLevel"/>
    <w:tmpl w:val="594F20E5"/>
    <w:lvl w:ilvl="0" w:tentative="0">
      <w:start w:val="1"/>
      <w:numFmt w:val="decimal"/>
      <w:suff w:val="nothing"/>
      <w:lvlText w:val="%1."/>
      <w:lvlJc w:val="left"/>
    </w:lvl>
  </w:abstractNum>
  <w:abstractNum w:abstractNumId="8">
    <w:nsid w:val="594F21A3"/>
    <w:multiLevelType w:val="singleLevel"/>
    <w:tmpl w:val="594F21A3"/>
    <w:lvl w:ilvl="0" w:tentative="0">
      <w:start w:val="1"/>
      <w:numFmt w:val="decimal"/>
      <w:suff w:val="nothing"/>
      <w:lvlText w:val="%1."/>
      <w:lvlJc w:val="left"/>
    </w:lvl>
  </w:abstractNum>
  <w:abstractNum w:abstractNumId="9">
    <w:nsid w:val="594F2233"/>
    <w:multiLevelType w:val="singleLevel"/>
    <w:tmpl w:val="594F2233"/>
    <w:lvl w:ilvl="0" w:tentative="0">
      <w:start w:val="1"/>
      <w:numFmt w:val="decimal"/>
      <w:suff w:val="nothing"/>
      <w:lvlText w:val="%1."/>
      <w:lvlJc w:val="left"/>
    </w:lvl>
  </w:abstractNum>
  <w:abstractNum w:abstractNumId="10">
    <w:nsid w:val="594F250F"/>
    <w:multiLevelType w:val="singleLevel"/>
    <w:tmpl w:val="594F250F"/>
    <w:lvl w:ilvl="0" w:tentative="0">
      <w:start w:val="1"/>
      <w:numFmt w:val="decimal"/>
      <w:suff w:val="nothing"/>
      <w:lvlText w:val="%1."/>
      <w:lvlJc w:val="left"/>
    </w:lvl>
  </w:abstractNum>
  <w:abstractNum w:abstractNumId="11">
    <w:nsid w:val="594F9A11"/>
    <w:multiLevelType w:val="singleLevel"/>
    <w:tmpl w:val="594F9A11"/>
    <w:lvl w:ilvl="0" w:tentative="0">
      <w:start w:val="1"/>
      <w:numFmt w:val="chineseCounting"/>
      <w:suff w:val="nothing"/>
      <w:lvlText w:val="（%1）"/>
      <w:lvlJc w:val="left"/>
    </w:lvl>
  </w:abstractNum>
  <w:abstractNum w:abstractNumId="12">
    <w:nsid w:val="5950A241"/>
    <w:multiLevelType w:val="singleLevel"/>
    <w:tmpl w:val="5950A241"/>
    <w:lvl w:ilvl="0" w:tentative="0">
      <w:start w:val="1"/>
      <w:numFmt w:val="chineseCounting"/>
      <w:suff w:val="nothing"/>
      <w:lvlText w:val="（%1）"/>
      <w:lvlJc w:val="left"/>
    </w:lvl>
  </w:abstractNum>
  <w:abstractNum w:abstractNumId="13">
    <w:nsid w:val="62A06945"/>
    <w:multiLevelType w:val="multilevel"/>
    <w:tmpl w:val="62A0694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3"/>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B5981"/>
    <w:rsid w:val="00194BE4"/>
    <w:rsid w:val="001E1675"/>
    <w:rsid w:val="002840A7"/>
    <w:rsid w:val="004D01E9"/>
    <w:rsid w:val="00567401"/>
    <w:rsid w:val="005B5981"/>
    <w:rsid w:val="00636ED5"/>
    <w:rsid w:val="00997500"/>
    <w:rsid w:val="00A36DC4"/>
    <w:rsid w:val="00D8341C"/>
    <w:rsid w:val="00E627C4"/>
    <w:rsid w:val="00E7060F"/>
    <w:rsid w:val="01366F3A"/>
    <w:rsid w:val="01925AE1"/>
    <w:rsid w:val="019C7088"/>
    <w:rsid w:val="07811195"/>
    <w:rsid w:val="0B014054"/>
    <w:rsid w:val="116F5A81"/>
    <w:rsid w:val="13D866CC"/>
    <w:rsid w:val="15E10B71"/>
    <w:rsid w:val="17144219"/>
    <w:rsid w:val="1BDC7060"/>
    <w:rsid w:val="1D1D4E6D"/>
    <w:rsid w:val="244052BE"/>
    <w:rsid w:val="24650357"/>
    <w:rsid w:val="24F86384"/>
    <w:rsid w:val="255D695A"/>
    <w:rsid w:val="28867894"/>
    <w:rsid w:val="28F4671B"/>
    <w:rsid w:val="2B4F4F83"/>
    <w:rsid w:val="2CD71E90"/>
    <w:rsid w:val="2E540503"/>
    <w:rsid w:val="2FDD78BA"/>
    <w:rsid w:val="32A91628"/>
    <w:rsid w:val="35535250"/>
    <w:rsid w:val="3589777C"/>
    <w:rsid w:val="35EA2C8C"/>
    <w:rsid w:val="38307AF3"/>
    <w:rsid w:val="3CFA773E"/>
    <w:rsid w:val="408068D7"/>
    <w:rsid w:val="40D372FF"/>
    <w:rsid w:val="45473DFB"/>
    <w:rsid w:val="4916351C"/>
    <w:rsid w:val="4B334461"/>
    <w:rsid w:val="50AF0D36"/>
    <w:rsid w:val="51316C3E"/>
    <w:rsid w:val="51D47699"/>
    <w:rsid w:val="55811C5A"/>
    <w:rsid w:val="568C2823"/>
    <w:rsid w:val="5840795D"/>
    <w:rsid w:val="5A965D68"/>
    <w:rsid w:val="5AA04287"/>
    <w:rsid w:val="5E4F01F3"/>
    <w:rsid w:val="5FB43D9C"/>
    <w:rsid w:val="6012590A"/>
    <w:rsid w:val="626B5775"/>
    <w:rsid w:val="64112A30"/>
    <w:rsid w:val="672D60CF"/>
    <w:rsid w:val="6B5D2799"/>
    <w:rsid w:val="6C054277"/>
    <w:rsid w:val="6F146AF6"/>
    <w:rsid w:val="6F5B698D"/>
    <w:rsid w:val="75311F4D"/>
    <w:rsid w:val="76F3419D"/>
    <w:rsid w:val="79563B83"/>
    <w:rsid w:val="79D81C12"/>
    <w:rsid w:val="7A011F7D"/>
    <w:rsid w:val="7A0156F6"/>
    <w:rsid w:val="7F892BEA"/>
    <w:rsid w:val="7FF30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6">
    <w:name w:val="List Paragraph"/>
    <w:basedOn w:val="1"/>
    <w:unhideWhenUsed/>
    <w:qFormat/>
    <w:uiPriority w:val="99"/>
    <w:pPr>
      <w:ind w:firstLine="420" w:firstLineChars="200"/>
    </w:pPr>
  </w:style>
  <w:style w:type="character" w:customStyle="1" w:styleId="7">
    <w:name w:val="批注框文本 Char"/>
    <w:basedOn w:val="3"/>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76</Words>
  <Characters>434</Characters>
  <Lines>3</Lines>
  <Paragraphs>1</Paragraphs>
  <ScaleCrop>false</ScaleCrop>
  <LinksUpToDate>false</LinksUpToDate>
  <CharactersWithSpaces>509</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cvc</dc:creator>
  <cp:lastModifiedBy>An安老师的An</cp:lastModifiedBy>
  <dcterms:modified xsi:type="dcterms:W3CDTF">2018-01-09T09:07:34Z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