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4688F">
      <w:pPr>
        <w:keepNext w:val="0"/>
        <w:keepLines w:val="0"/>
        <w:pageBreakBefore w:val="0"/>
        <w:tabs>
          <w:tab w:val="left" w:pos="8190"/>
        </w:tabs>
        <w:kinsoku/>
        <w:wordWrap/>
        <w:overflowPunct/>
        <w:topLinePunct w:val="0"/>
        <w:autoSpaceDE/>
        <w:autoSpaceDN/>
        <w:bidi w:val="0"/>
        <w:adjustRightInd/>
        <w:snapToGrid/>
        <w:ind w:firstLine="643" w:firstLineChars="200"/>
        <w:jc w:val="center"/>
        <w:textAlignment w:val="auto"/>
        <w:rPr>
          <w:rFonts w:hint="eastAsia" w:ascii="宋体" w:hAnsi="宋体" w:eastAsia="宋体" w:cs="宋体"/>
          <w:b/>
          <w:bCs/>
          <w:i w:val="0"/>
          <w:iCs w:val="0"/>
          <w:caps w:val="0"/>
          <w:spacing w:val="0"/>
          <w:sz w:val="32"/>
          <w:szCs w:val="32"/>
          <w:shd w:val="clear" w:fill="FFFFFF"/>
        </w:rPr>
      </w:pPr>
      <w:bookmarkStart w:id="0" w:name="_GoBack"/>
      <w:r>
        <w:rPr>
          <w:rFonts w:hint="eastAsia" w:ascii="宋体" w:hAnsi="宋体" w:eastAsia="宋体" w:cs="宋体"/>
          <w:b/>
          <w:bCs/>
          <w:i w:val="0"/>
          <w:iCs w:val="0"/>
          <w:caps w:val="0"/>
          <w:spacing w:val="0"/>
          <w:sz w:val="32"/>
          <w:szCs w:val="32"/>
          <w:shd w:val="clear" w:fill="FFFFFF"/>
        </w:rPr>
        <w:t>济水之畔传雅韵，数字赋能续文脉</w:t>
      </w:r>
    </w:p>
    <w:p w14:paraId="36A9404C">
      <w:pPr>
        <w:keepNext w:val="0"/>
        <w:keepLines w:val="0"/>
        <w:pageBreakBefore w:val="0"/>
        <w:tabs>
          <w:tab w:val="left" w:pos="8190"/>
        </w:tabs>
        <w:kinsoku/>
        <w:wordWrap/>
        <w:overflowPunct/>
        <w:topLinePunct w:val="0"/>
        <w:autoSpaceDE/>
        <w:autoSpaceDN/>
        <w:bidi w:val="0"/>
        <w:adjustRightInd/>
        <w:snapToGrid/>
        <w:ind w:firstLine="643" w:firstLineChars="200"/>
        <w:jc w:val="center"/>
        <w:textAlignment w:val="auto"/>
        <w:rPr>
          <w:rFonts w:hint="eastAsia" w:ascii="宋体" w:hAnsi="宋体" w:eastAsia="宋体" w:cs="宋体"/>
          <w:b/>
          <w:bCs/>
          <w:i w:val="0"/>
          <w:iCs w:val="0"/>
          <w:caps w:val="0"/>
          <w:spacing w:val="0"/>
          <w:sz w:val="32"/>
          <w:szCs w:val="32"/>
          <w:shd w:val="clear" w:fill="FFFFFF"/>
        </w:rPr>
      </w:pPr>
      <w:r>
        <w:rPr>
          <w:rFonts w:hint="eastAsia" w:ascii="宋体" w:hAnsi="宋体" w:eastAsia="宋体" w:cs="宋体"/>
          <w:b/>
          <w:bCs/>
          <w:i w:val="0"/>
          <w:iCs w:val="0"/>
          <w:caps w:val="0"/>
          <w:spacing w:val="0"/>
          <w:sz w:val="32"/>
          <w:szCs w:val="32"/>
          <w:shd w:val="clear" w:fill="FFFFFF"/>
          <w:lang w:eastAsia="zh-CN"/>
        </w:rPr>
        <w:t>——</w:t>
      </w:r>
      <w:r>
        <w:rPr>
          <w:rFonts w:hint="eastAsia" w:ascii="宋体" w:hAnsi="宋体" w:eastAsia="宋体" w:cs="宋体"/>
          <w:b/>
          <w:bCs/>
          <w:i w:val="0"/>
          <w:iCs w:val="0"/>
          <w:caps w:val="0"/>
          <w:spacing w:val="0"/>
          <w:sz w:val="32"/>
          <w:szCs w:val="32"/>
          <w:shd w:val="clear" w:fill="FFFFFF"/>
        </w:rPr>
        <w:t>吴明渠名师工作室</w:t>
      </w:r>
      <w:r>
        <w:rPr>
          <w:rFonts w:hint="eastAsia" w:ascii="宋体" w:hAnsi="宋体" w:eastAsia="宋体" w:cs="宋体"/>
          <w:b/>
          <w:bCs/>
          <w:i w:val="0"/>
          <w:iCs w:val="0"/>
          <w:caps w:val="0"/>
          <w:spacing w:val="0"/>
          <w:sz w:val="32"/>
          <w:szCs w:val="32"/>
          <w:shd w:val="clear" w:fill="FFFFFF"/>
          <w:lang w:val="en-US" w:eastAsia="zh-CN"/>
        </w:rPr>
        <w:t>赴</w:t>
      </w:r>
      <w:r>
        <w:rPr>
          <w:rFonts w:hint="eastAsia" w:ascii="宋体" w:hAnsi="宋体" w:eastAsia="宋体" w:cs="宋体"/>
          <w:b/>
          <w:bCs/>
          <w:i w:val="0"/>
          <w:iCs w:val="0"/>
          <w:caps w:val="0"/>
          <w:spacing w:val="0"/>
          <w:sz w:val="32"/>
          <w:szCs w:val="32"/>
          <w:shd w:val="clear" w:fill="FFFFFF"/>
        </w:rPr>
        <w:t>济南分享传统文化</w:t>
      </w:r>
    </w:p>
    <w:p w14:paraId="1377A350">
      <w:pPr>
        <w:keepNext w:val="0"/>
        <w:keepLines w:val="0"/>
        <w:pageBreakBefore w:val="0"/>
        <w:tabs>
          <w:tab w:val="left" w:pos="8190"/>
        </w:tabs>
        <w:kinsoku/>
        <w:wordWrap/>
        <w:overflowPunct/>
        <w:topLinePunct w:val="0"/>
        <w:autoSpaceDE/>
        <w:autoSpaceDN/>
        <w:bidi w:val="0"/>
        <w:adjustRightInd/>
        <w:snapToGrid/>
        <w:ind w:firstLine="643" w:firstLineChars="200"/>
        <w:jc w:val="center"/>
        <w:textAlignment w:val="auto"/>
        <w:rPr>
          <w:rFonts w:hint="eastAsia" w:ascii="宋体" w:hAnsi="宋体" w:eastAsia="宋体" w:cs="宋体"/>
          <w:b/>
          <w:bCs/>
          <w:i w:val="0"/>
          <w:iCs w:val="0"/>
          <w:caps w:val="0"/>
          <w:spacing w:val="0"/>
          <w:sz w:val="32"/>
          <w:szCs w:val="32"/>
          <w:shd w:val="clear" w:fill="FFFFFF"/>
          <w:lang w:val="en-US" w:eastAsia="zh-CN"/>
        </w:rPr>
      </w:pPr>
      <w:r>
        <w:rPr>
          <w:rFonts w:hint="eastAsia" w:ascii="宋体" w:hAnsi="宋体" w:eastAsia="宋体" w:cs="宋体"/>
          <w:b/>
          <w:bCs/>
          <w:i w:val="0"/>
          <w:iCs w:val="0"/>
          <w:caps w:val="0"/>
          <w:spacing w:val="0"/>
          <w:sz w:val="32"/>
          <w:szCs w:val="32"/>
          <w:shd w:val="clear" w:fill="FFFFFF"/>
        </w:rPr>
        <w:t>数字建设经验</w:t>
      </w:r>
      <w:r>
        <w:rPr>
          <w:rFonts w:hint="eastAsia" w:ascii="宋体" w:hAnsi="宋体" w:eastAsia="宋体" w:cs="宋体"/>
          <w:b/>
          <w:bCs/>
          <w:i w:val="0"/>
          <w:iCs w:val="0"/>
          <w:caps w:val="0"/>
          <w:spacing w:val="0"/>
          <w:sz w:val="32"/>
          <w:szCs w:val="32"/>
          <w:shd w:val="clear" w:fill="FFFFFF"/>
          <w:lang w:val="en-US" w:eastAsia="zh-CN"/>
        </w:rPr>
        <w:t xml:space="preserve"> </w:t>
      </w:r>
    </w:p>
    <w:bookmarkEnd w:id="0"/>
    <w:p w14:paraId="2FF8055C">
      <w:pPr>
        <w:keepNext w:val="0"/>
        <w:keepLines w:val="0"/>
        <w:pageBreakBefore w:val="0"/>
        <w:tabs>
          <w:tab w:val="left" w:pos="8190"/>
        </w:tabs>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drawing>
          <wp:anchor distT="0" distB="0" distL="114300" distR="114300" simplePos="0" relativeHeight="251659264" behindDoc="0" locked="0" layoutInCell="1" allowOverlap="1">
            <wp:simplePos x="0" y="0"/>
            <wp:positionH relativeFrom="column">
              <wp:posOffset>30480</wp:posOffset>
            </wp:positionH>
            <wp:positionV relativeFrom="paragraph">
              <wp:posOffset>2467610</wp:posOffset>
            </wp:positionV>
            <wp:extent cx="5264785" cy="3947160"/>
            <wp:effectExtent l="0" t="0" r="5715" b="2540"/>
            <wp:wrapTopAndBottom/>
            <wp:docPr id="1" name="图片 1" descr="f100acbd43bb115c9f337ba64bfef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100acbd43bb115c9f337ba64bfef191"/>
                    <pic:cNvPicPr>
                      <a:picLocks noChangeAspect="1"/>
                    </pic:cNvPicPr>
                  </pic:nvPicPr>
                  <pic:blipFill>
                    <a:blip r:embed="rId4"/>
                    <a:stretch>
                      <a:fillRect/>
                    </a:stretch>
                  </pic:blipFill>
                  <pic:spPr>
                    <a:xfrm>
                      <a:off x="0" y="0"/>
                      <a:ext cx="5264785" cy="3947160"/>
                    </a:xfrm>
                    <a:prstGeom prst="rect">
                      <a:avLst/>
                    </a:prstGeom>
                  </pic:spPr>
                </pic:pic>
              </a:graphicData>
            </a:graphic>
          </wp:anchor>
        </w:drawing>
      </w:r>
      <w:r>
        <w:rPr>
          <w:rFonts w:hint="eastAsia" w:ascii="宋体" w:hAnsi="宋体" w:eastAsia="宋体" w:cs="宋体"/>
          <w:sz w:val="28"/>
          <w:szCs w:val="28"/>
          <w:highlight w:val="none"/>
        </w:rPr>
        <w:t>2025年10月</w:t>
      </w:r>
      <w:r>
        <w:rPr>
          <w:rFonts w:hint="eastAsia" w:ascii="宋体" w:hAnsi="宋体" w:eastAsia="宋体" w:cs="宋体"/>
          <w:sz w:val="28"/>
          <w:szCs w:val="28"/>
          <w:highlight w:val="none"/>
          <w:lang w:val="en-US" w:eastAsia="zh-CN"/>
        </w:rPr>
        <w:t>25日，</w:t>
      </w:r>
      <w:r>
        <w:rPr>
          <w:rFonts w:hint="default" w:ascii="宋体" w:hAnsi="宋体" w:eastAsia="宋体" w:cs="宋体"/>
          <w:sz w:val="28"/>
          <w:szCs w:val="28"/>
          <w:highlight w:val="none"/>
          <w:lang w:val="en-US" w:eastAsia="zh-CN"/>
        </w:rPr>
        <w:t>中国教育学会传统文化教育分会 2025 年学术年会暨理事会换届大会在山东济南隆重召开。成都市双流区东升小学吴明渠名师工作室核心成员受邀参会，</w:t>
      </w:r>
      <w:r>
        <w:rPr>
          <w:rFonts w:hint="eastAsia" w:ascii="宋体" w:hAnsi="宋体" w:eastAsia="宋体" w:cs="宋体"/>
          <w:sz w:val="28"/>
          <w:szCs w:val="28"/>
          <w:highlight w:val="none"/>
          <w:lang w:val="en-US" w:eastAsia="zh-CN"/>
        </w:rPr>
        <w:t>吴明渠老师</w:t>
      </w:r>
      <w:r>
        <w:rPr>
          <w:rFonts w:hint="default" w:ascii="宋体" w:hAnsi="宋体" w:eastAsia="宋体" w:cs="宋体"/>
          <w:sz w:val="28"/>
          <w:szCs w:val="28"/>
          <w:highlight w:val="none"/>
          <w:lang w:val="en-US" w:eastAsia="zh-CN"/>
        </w:rPr>
        <w:t>以“中华优秀传统文化数字建设的成都探索”为主题作专题讲座，向全国教育同仁分享成都在传统文化数字化教育领域的实践经验与创新成果，引发广泛关注与热烈反响。</w:t>
      </w:r>
    </w:p>
    <w:p w14:paraId="4F59A1BA">
      <w:pPr>
        <w:keepNext w:val="0"/>
        <w:keepLines w:val="0"/>
        <w:pageBreakBefore w:val="0"/>
        <w:tabs>
          <w:tab w:val="left" w:pos="8190"/>
        </w:tabs>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highlight w:val="none"/>
        </w:rPr>
      </w:pPr>
      <w:r>
        <w:rPr>
          <w:rFonts w:hint="default" w:ascii="宋体" w:hAnsi="宋体" w:eastAsia="宋体" w:cs="宋体"/>
          <w:sz w:val="28"/>
          <w:szCs w:val="28"/>
          <w:highlight w:val="none"/>
          <w:lang w:val="en-US" w:eastAsia="zh-CN"/>
        </w:rPr>
        <w:t>作为深耕中华优秀传统文化教育二十余年的专业团队，吴明渠名师工作室始终以数字化为抓手，推动传统文化教育创新发展。讲座中，工作室围绕成都数字学校平台这一核心载体，系统介绍了传统文化课</w:t>
      </w:r>
      <w:r>
        <w:rPr>
          <w:rFonts w:hint="default" w:ascii="宋体" w:hAnsi="宋体" w:eastAsia="宋体" w:cs="宋体"/>
          <w:sz w:val="28"/>
          <w:szCs w:val="28"/>
          <w:highlight w:val="none"/>
          <w:lang w:val="en-US" w:eastAsia="zh-CN"/>
        </w:rPr>
        <w:drawing>
          <wp:anchor distT="0" distB="0" distL="114300" distR="114300" simplePos="0" relativeHeight="251660288" behindDoc="0" locked="0" layoutInCell="1" allowOverlap="1">
            <wp:simplePos x="0" y="0"/>
            <wp:positionH relativeFrom="column">
              <wp:posOffset>-7620</wp:posOffset>
            </wp:positionH>
            <wp:positionV relativeFrom="paragraph">
              <wp:posOffset>1998345</wp:posOffset>
            </wp:positionV>
            <wp:extent cx="5266690" cy="3511550"/>
            <wp:effectExtent l="0" t="0" r="3810" b="6350"/>
            <wp:wrapTopAndBottom/>
            <wp:docPr id="2" name="图片 2" descr="e90af61c076118b7ef8cef2c1d4a10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90af61c076118b7ef8cef2c1d4a10ce"/>
                    <pic:cNvPicPr>
                      <a:picLocks noChangeAspect="1"/>
                    </pic:cNvPicPr>
                  </pic:nvPicPr>
                  <pic:blipFill>
                    <a:blip r:embed="rId5"/>
                    <a:stretch>
                      <a:fillRect/>
                    </a:stretch>
                  </pic:blipFill>
                  <pic:spPr>
                    <a:xfrm>
                      <a:off x="0" y="0"/>
                      <a:ext cx="5266690" cy="3511550"/>
                    </a:xfrm>
                    <a:prstGeom prst="rect">
                      <a:avLst/>
                    </a:prstGeom>
                  </pic:spPr>
                </pic:pic>
              </a:graphicData>
            </a:graphic>
          </wp:anchor>
        </w:drawing>
      </w:r>
      <w:r>
        <w:rPr>
          <w:rFonts w:hint="default" w:ascii="宋体" w:hAnsi="宋体" w:eastAsia="宋体" w:cs="宋体"/>
          <w:sz w:val="28"/>
          <w:szCs w:val="28"/>
          <w:highlight w:val="none"/>
          <w:lang w:val="en-US" w:eastAsia="zh-CN"/>
        </w:rPr>
        <w:t>程的构建与实施路径。据介绍，成都数字学校作为成都市教育局打造的优质教育平台，集聚全域名校名师与教研力量，免费为全域学生提供直播、回放服务，其中传统文化课程凭借丰富内容与创新形式，成为平台“明星课程”，累计授课170节、受益师生家长超五十万人次，稳居每学期课程报名、听课、回放人次榜首。</w:t>
      </w:r>
    </w:p>
    <w:p w14:paraId="5C3CD6FF">
      <w:pPr>
        <w:keepNext w:val="0"/>
        <w:keepLines w:val="0"/>
        <w:pageBreakBefore w:val="0"/>
        <w:tabs>
          <w:tab w:val="left" w:pos="8190"/>
        </w:tabs>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highlight w:val="none"/>
        </w:rPr>
      </w:pPr>
      <w:r>
        <w:rPr>
          <w:rFonts w:hint="default" w:ascii="宋体" w:hAnsi="宋体" w:eastAsia="宋体" w:cs="宋体"/>
          <w:sz w:val="28"/>
          <w:szCs w:val="28"/>
          <w:highlight w:val="none"/>
          <w:lang w:val="en-US" w:eastAsia="zh-CN"/>
        </w:rPr>
        <w:t>在课程体系建设方面，工作室重点展示了三大核心系列课程。“巴蜀地方文化系列”深耕本土资源，涵盖“天府名胜”“巴蜀名人”“四川非遗”三大模块，通过图片、视频、3D动画、AI立体场景及实地讲解，解读都江堰、三星堆、蜀锦蜀绣等文化符号的内涵，还邀请非遗大师走进课堂，借助AI技术实现师生与大师对话，并配套出版《魅力天府》综合实践课程读本；“中华传统文化系列” 立足全国视野，将《小学生优秀传统文化每周一课》（人民出版社出版，曾获四川省优秀传统文化读本第一名）中的“神州大地”“华夏名</w:t>
      </w:r>
      <w:r>
        <w:rPr>
          <w:rFonts w:hint="default" w:ascii="宋体" w:hAnsi="宋体" w:eastAsia="宋体" w:cs="宋体"/>
          <w:sz w:val="28"/>
          <w:szCs w:val="28"/>
          <w:highlight w:val="none"/>
        </w:rPr>
        <w:drawing>
          <wp:anchor distT="0" distB="0" distL="114300" distR="114300" simplePos="0" relativeHeight="251661312" behindDoc="0" locked="0" layoutInCell="1" allowOverlap="1">
            <wp:simplePos x="0" y="0"/>
            <wp:positionH relativeFrom="column">
              <wp:posOffset>-158750</wp:posOffset>
            </wp:positionH>
            <wp:positionV relativeFrom="paragraph">
              <wp:posOffset>2238375</wp:posOffset>
            </wp:positionV>
            <wp:extent cx="5274310" cy="3955415"/>
            <wp:effectExtent l="0" t="0" r="8890" b="6985"/>
            <wp:wrapTopAndBottom/>
            <wp:docPr id="4" name="图片 4" descr="448f3bc6d7b5456c34b5ebb2be4326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48f3bc6d7b5456c34b5ebb2be43262d"/>
                    <pic:cNvPicPr>
                      <a:picLocks noChangeAspect="1"/>
                    </pic:cNvPicPr>
                  </pic:nvPicPr>
                  <pic:blipFill>
                    <a:blip r:embed="rId6"/>
                    <a:stretch>
                      <a:fillRect/>
                    </a:stretch>
                  </pic:blipFill>
                  <pic:spPr>
                    <a:xfrm>
                      <a:off x="0" y="0"/>
                      <a:ext cx="5274310" cy="3955415"/>
                    </a:xfrm>
                    <a:prstGeom prst="rect">
                      <a:avLst/>
                    </a:prstGeom>
                  </pic:spPr>
                </pic:pic>
              </a:graphicData>
            </a:graphic>
          </wp:anchor>
        </w:drawing>
      </w:r>
      <w:r>
        <w:rPr>
          <w:rFonts w:hint="default" w:ascii="宋体" w:hAnsi="宋体" w:eastAsia="宋体" w:cs="宋体"/>
          <w:sz w:val="28"/>
          <w:szCs w:val="28"/>
          <w:highlight w:val="none"/>
          <w:lang w:val="en-US" w:eastAsia="zh-CN"/>
        </w:rPr>
        <w:t>人”“中华文艺”“九州风俗”等内容转化为13节系统课程，覆盖山川名胜、历史名人、文化艺术等领域；“节日节气系列”则结合时令特点，开发24节气与春节、端午、七夕等传统节日课程，编写《24 节气综合实践课程》读本，通过“课堂学习+综合实践”双环节，让学生深入理解节气习俗与文化意义。</w:t>
      </w:r>
    </w:p>
    <w:p w14:paraId="5A01F235">
      <w:pPr>
        <w:keepNext w:val="0"/>
        <w:keepLines w:val="0"/>
        <w:pageBreakBefore w:val="0"/>
        <w:tabs>
          <w:tab w:val="left" w:pos="8190"/>
        </w:tabs>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highlight w:val="none"/>
        </w:rPr>
      </w:pPr>
      <w:r>
        <w:rPr>
          <w:rFonts w:hint="default" w:ascii="宋体" w:hAnsi="宋体" w:eastAsia="宋体" w:cs="宋体"/>
          <w:sz w:val="28"/>
          <w:szCs w:val="28"/>
          <w:highlight w:val="none"/>
          <w:lang w:val="en-US" w:eastAsia="zh-CN"/>
        </w:rPr>
        <w:t>此外，</w:t>
      </w:r>
      <w:r>
        <w:rPr>
          <w:rFonts w:hint="eastAsia" w:ascii="宋体" w:hAnsi="宋体" w:eastAsia="宋体" w:cs="宋体"/>
          <w:sz w:val="28"/>
          <w:szCs w:val="28"/>
          <w:highlight w:val="none"/>
          <w:lang w:val="en-US" w:eastAsia="zh-CN"/>
        </w:rPr>
        <w:t>吴老师</w:t>
      </w:r>
      <w:r>
        <w:rPr>
          <w:rFonts w:hint="default" w:ascii="宋体" w:hAnsi="宋体" w:eastAsia="宋体" w:cs="宋体"/>
          <w:sz w:val="28"/>
          <w:szCs w:val="28"/>
          <w:highlight w:val="none"/>
          <w:lang w:val="en-US" w:eastAsia="zh-CN"/>
        </w:rPr>
        <w:t>还分享了成都在传统文化教育保障体系建设中的创新举措，包括设立专职传统文化教研员、每月开展全市教研活动、打造 “成都方志好课”、参与四川省诗词大会、成立成都市教育学会传统文化教育分会、编写12套52本传统文化读本、依托课题吸引 40 所子课题学校参与研究等。这些举措形成了“平台支撑、课程引领、教研保障、多方联动”的传统文化教育生态，相关经验已入选教育部蓝皮书，并在光明日报、中国教育报等权威媒体推广。</w:t>
      </w:r>
    </w:p>
    <w:p w14:paraId="3A0D6B71">
      <w:pPr>
        <w:keepNext w:val="0"/>
        <w:keepLines w:val="0"/>
        <w:pageBreakBefore w:val="0"/>
        <w:tabs>
          <w:tab w:val="left" w:pos="8190"/>
        </w:tabs>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本次济南分享，不仅是成都传统文化数字建设经验走向全国的重要契机，也为各地开展传统文化教育提供了可借鉴的实践样本。吴明渠名师工作室表示，未来将继续依托中国教育学会传统文化教育分会等平台，深化传统文化数字化探索，为中华优秀传统文化的创造性转化、创新性发展贡献更多“成都智慧”。</w:t>
      </w:r>
    </w:p>
    <w:p w14:paraId="1848BB66">
      <w:pPr>
        <w:keepNext w:val="0"/>
        <w:keepLines w:val="0"/>
        <w:pageBreakBefore w:val="0"/>
        <w:tabs>
          <w:tab w:val="left" w:pos="8190"/>
        </w:tabs>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drawing>
          <wp:anchor distT="0" distB="0" distL="114300" distR="114300" simplePos="0" relativeHeight="251662336" behindDoc="0" locked="0" layoutInCell="1" allowOverlap="1">
            <wp:simplePos x="0" y="0"/>
            <wp:positionH relativeFrom="column">
              <wp:posOffset>15875</wp:posOffset>
            </wp:positionH>
            <wp:positionV relativeFrom="paragraph">
              <wp:posOffset>33655</wp:posOffset>
            </wp:positionV>
            <wp:extent cx="5230495" cy="2941955"/>
            <wp:effectExtent l="0" t="0" r="1905" b="4445"/>
            <wp:wrapTopAndBottom/>
            <wp:docPr id="6" name="图片 6" descr="54138509ede55cf8b69e3aa39489f8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4138509ede55cf8b69e3aa39489f8ae"/>
                    <pic:cNvPicPr>
                      <a:picLocks noChangeAspect="1"/>
                    </pic:cNvPicPr>
                  </pic:nvPicPr>
                  <pic:blipFill>
                    <a:blip r:embed="rId7"/>
                    <a:stretch>
                      <a:fillRect/>
                    </a:stretch>
                  </pic:blipFill>
                  <pic:spPr>
                    <a:xfrm>
                      <a:off x="0" y="0"/>
                      <a:ext cx="5230495" cy="2941955"/>
                    </a:xfrm>
                    <a:prstGeom prst="rect">
                      <a:avLst/>
                    </a:prstGeom>
                  </pic:spPr>
                </pic:pic>
              </a:graphicData>
            </a:graphic>
          </wp:anchor>
        </w:drawing>
      </w:r>
    </w:p>
    <w:p w14:paraId="1FEA3EFA">
      <w:pPr>
        <w:keepNext w:val="0"/>
        <w:keepLines w:val="0"/>
        <w:pageBreakBefore w:val="0"/>
        <w:tabs>
          <w:tab w:val="left" w:pos="8190"/>
        </w:tabs>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tserra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9C003B"/>
    <w:rsid w:val="2E9C003B"/>
    <w:rsid w:val="31F6347B"/>
    <w:rsid w:val="39BF3CF7"/>
    <w:rsid w:val="3EEB0A50"/>
    <w:rsid w:val="469B15DD"/>
    <w:rsid w:val="65AD4482"/>
    <w:rsid w:val="710B4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2025-10-25T06:23:00Z</dcterms:created>
  <dc:creator>Helena</dc:creator>
  <cp:lastModifiedBy>Helena</cp:lastModifiedBy>
  <dcterms:modified xsi:type="dcterms:W3CDTF">2025-10-25T06:48:07Z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E828C72B2C1B412B92D3702FE3292F6E_11</vt:lpwstr>
  </property>
  <property fmtid="{D5CDD505-2E9C-101B-9397-08002B2CF9AE}" pid="4" name="KSOTemplateDocerSaveRecord">
    <vt:lpwstr>eyJoZGlkIjoiYWNhOGY0Y2Y2YzVmYzVjZjA3NDlhNDE4YjI2NjFlOGQiLCJ1c2VySWQiOiI1MzQ1NzQ4NzUifQ==</vt:lpwstr>
  </property>
</Properties>
</file>