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280" w:firstLineChars="4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深耕大思政教育 赋能教材解读</w:t>
      </w:r>
    </w:p>
    <w:p>
      <w:pPr>
        <w:ind w:firstLine="1280" w:firstLineChars="40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——吴明渠工作室开展专项教研活动</w:t>
      </w:r>
    </w:p>
    <w:p>
      <w:pPr>
        <w:jc w:val="center"/>
        <w:rPr>
          <w:rFonts w:hint="eastAsia" w:ascii="黑体" w:hAnsi="黑体" w:eastAsia="黑体" w:cs="黑体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为深入落实立德树人根本任务，推动大思政教育与语文教学深度融合，精准挖掘教材中的思政教育资源，</w:t>
      </w:r>
      <w:r>
        <w:rPr>
          <w:rFonts w:hint="eastAsia"/>
          <w:sz w:val="28"/>
          <w:szCs w:val="36"/>
          <w:lang w:val="en-US" w:eastAsia="zh-CN"/>
        </w:rPr>
        <w:t>2026年</w:t>
      </w:r>
      <w:r>
        <w:rPr>
          <w:rFonts w:hint="eastAsia"/>
          <w:sz w:val="28"/>
          <w:szCs w:val="36"/>
        </w:rPr>
        <w:t>1月12日，吴明渠工作室全体成员齐聚红樱实验学校，以“教材中的大思政要素分析”为核心主题，开展了一场务实高效的专项教研活动，为后续思政教育融入课堂教学筑牢根基。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次活动围绕四年级语文教材展开，三项核心议程层层递进。活动伊始，四年级教研组代表汇报了教材大思政要素点线图谱的修改成果。前期，该组教师经多轮集体研讨与反复打磨，对初步图谱进行系统性优化：“点”上细化家国情怀、责任担当等思政要素的文本体现与教学切入点；“线”上梳理跨单元、跨学段的思政主题脉络，形成循序渐进的教育体系。汇报中展示的图谱框架与典型案例，让全体成员清晰把握了思政要素的分布规律，现场成员也提出建设性意见，助力图谱完善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随后进入成员分享交流环节，全体成员围绕“教材中思政要素的挖掘与提炼”各抒己见。大家结合教学实践，分别从叙事文本、说明文、古诗文等不同文体出发，分享了挖掘责任担当、文化自信、家国情怀等思政要素的心得。同时，成员们总结出实用方法：立足文本语境避免“贴标签”解读，结合学生认知特点选准切入点，注重与语文核心素养融合，实现“文”与“道”的统一。思想的碰撞让大家深化了理解，积累了丰富经验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最后，工作室导师针对教材目录进行精准点播与示范讲解。导师指出，教材目录是把握育人导向的重要抓手，需先明确各单元思政教育侧重点，再深入文本实现宏观与微观的统一。随后，导师以四年级教材目录为蓝本，逐单元分析思政主题线索，并示范了基于目录逻辑的思政教学活动设计。针对前期成果与分享中的问题，导师提出改进建议：强化图谱与目录逻辑的契合度，避免思政教育与语文教学“两张皮”，注重思政教育的实践性。</w:t>
      </w:r>
    </w:p>
    <w:p>
      <w:pPr>
        <w:ind w:firstLine="560" w:firstLineChars="200"/>
        <w:rPr>
          <w:rFonts w:hint="eastAsia"/>
          <w:sz w:val="28"/>
          <w:szCs w:val="36"/>
        </w:rPr>
      </w:pPr>
    </w:p>
    <w:p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次教研活动构建了“成果展示—交流互鉴—专业引领”的闭环模式，让全体成员对教材思政要素有了更全面深入的理解，凝聚了深耕大思政教育的共识。下一步，工作室将基于完善后的图谱与导师指导，开发思政教学案例，将思政要素有机融入课堂，通过多元教学方式让思政元素真正“活”起来。同时持续深化研究，探索融合新路径，助力学生全面发展，红樱实验学校也将借此加强与工作室的合作，共同推动教学质量与思政教育水平同步提升。</w:t>
      </w:r>
    </w:p>
    <w:p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1937385" cy="1440180"/>
            <wp:effectExtent l="0" t="0" r="18415" b="7620"/>
            <wp:docPr id="3" name="图片 3" descr="1351768746015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351768746015_.pi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73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1942465" cy="1440180"/>
            <wp:effectExtent l="0" t="0" r="13335" b="7620"/>
            <wp:docPr id="1" name="图片 1" descr="1381768746440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81768746440_.pic"/>
                    <pic:cNvPicPr>
                      <a:picLocks noChangeAspect="1"/>
                    </pic:cNvPicPr>
                  </pic:nvPicPr>
                  <pic:blipFill>
                    <a:blip r:embed="rId5"/>
                    <a:srcRect l="-238" t="2445" r="6853" b="10991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DB7715"/>
    <w:rsid w:val="1FDB7715"/>
    <w:rsid w:val="7FB9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2026-01-18T20:46:00Z</dcterms:created>
  <dc:creator>李lym</dc:creator>
  <cp:lastModifiedBy>李lym</cp:lastModifiedBy>
  <dcterms:modified xsi:type="dcterms:W3CDTF">2026-01-18T22:35:00Z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B3D4F4E8EC9D40D636D66C69E8DD4EC4_41</vt:lpwstr>
  </property>
</Properties>
</file>