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76" w:afterAutospacing="0"/>
        <w:ind w:left="0" w:right="0"/>
        <w:rPr>
          <w:color w:val="auto"/>
        </w:rPr>
      </w:pPr>
      <w:bookmarkStart w:id="0" w:name="_GoBack"/>
      <w:r>
        <w:rPr>
          <w:color w:val="auto"/>
          <w:bdr w:val="none" w:color="auto" w:sz="0" w:space="0"/>
          <w:shd w:val="clear" w:fill="FAFAFA"/>
        </w:rPr>
        <w:t>教育部关于《深化新时代教育评价改革总体方案》</w:t>
      </w:r>
    </w:p>
    <w:bookmarkEnd w:id="0"/>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一、总体要求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二、重点任务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（一）改革党委和政府教育工作评价，推进科学履行职责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（二）改革学校评价，推进落实立德树人根本任务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（三）改革教师评价，推进践行教书育人使命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（四）改革学生评价，促进德智体美劳全面发展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（五）改革用人评价，共同营造教育发展良好环境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21.树立正确用人导向。党政机关、事业单位、国有企业要带头扭转“唯名校”、“唯学历”的用人导向，建立以品德和能力为导向、以岗位需求为目标的人才使用机制，改变人才“高消费”状况，形成不拘一格降人才的良好局面。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三、组织实施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一、总体要求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二、重点任务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（一）改革党委和政府教育工作评价，推进科学履行职责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（二）改革学校评价，推进落实立德树人根本任务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（三）改革教师评价，推进践行教书育人使命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（四）改革学生评价，促进德智体美劳全面发展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（五）改革用人评价，共同营造教育发展良好环境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21.树立正确用人导向。党政机关、事业单位、国有企业要带头扭转“唯名校”、“唯学历”的用人导向，建立以品德和能力为导向、以岗位需求为目标的人才使用机制，改变人才“高消费”状况，形成不拘一格降人才的良好局面。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三、组织实施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xml:space="preserve">　　（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 </w:t>
      </w: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pStyle w:val="3"/>
        <w:keepNext w:val="0"/>
        <w:keepLines w:val="0"/>
        <w:widowControl/>
        <w:suppressLineNumbers w:val="0"/>
        <w:spacing w:before="228" w:beforeAutospacing="0" w:after="152" w:afterAutospacing="0" w:line="390" w:lineRule="atLeast"/>
        <w:ind w:left="0" w:right="0" w:firstLine="420"/>
        <w:jc w:val="both"/>
      </w:pPr>
    </w:p>
    <w:p>
      <w:pPr>
        <w:pStyle w:val="3"/>
        <w:keepNext w:val="0"/>
        <w:keepLines w:val="0"/>
        <w:widowControl/>
        <w:suppressLineNumbers w:val="0"/>
        <w:spacing w:before="228" w:beforeAutospacing="0" w:after="152" w:afterAutospacing="0" w:line="390" w:lineRule="atLeast"/>
        <w:ind w:left="0" w:right="0" w:firstLine="420"/>
        <w:jc w:val="both"/>
      </w:pPr>
      <w:r>
        <w:rPr>
          <w:rFonts w:hint="eastAsia" w:ascii="微软雅黑" w:hAnsi="微软雅黑" w:eastAsia="微软雅黑" w:cs="微软雅黑"/>
          <w:color w:val="333333"/>
          <w:sz w:val="21"/>
          <w:szCs w:val="21"/>
          <w:shd w:val="clear" w:fill="FAFAFA"/>
        </w:rPr>
        <w:t>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BkOTE2MjBhMjg5YTYzZWIxYTU0NGE0ODljZjAifQ=="/>
  </w:docVars>
  <w:rsids>
    <w:rsidRoot w:val="00000000"/>
    <w:rsid w:val="525B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450" w:beforeAutospacing="0" w:after="150" w:afterAutospacing="0" w:line="510" w:lineRule="atLeast"/>
      <w:ind w:left="0" w:right="0"/>
      <w:jc w:val="center"/>
    </w:pPr>
    <w:rPr>
      <w:rFonts w:hint="eastAsia" w:ascii="宋体" w:hAnsi="宋体" w:eastAsia="宋体" w:cs="宋体"/>
      <w:b/>
      <w:bCs/>
      <w:color w:val="D2241D"/>
      <w:kern w:val="44"/>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1B1B1B"/>
      <w:u w:val="none"/>
    </w:rPr>
  </w:style>
  <w:style w:type="character" w:styleId="7">
    <w:name w:val="Hyperlink"/>
    <w:basedOn w:val="5"/>
    <w:uiPriority w:val="0"/>
    <w:rPr>
      <w:color w:val="1B1B1B"/>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2023-06-29T14:57:41Z</dcterms:created>
  <dc:creator>lenovo</dc:creator>
  <cp:lastModifiedBy>灵彦</cp:lastModifiedBy>
  <dcterms:modified xsi:type="dcterms:W3CDTF">2023-06-29T14:59:20Z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7DD3D2A44B9545ADA3F50200286EB678_12</vt:lpwstr>
  </property>
</Properties>
</file>