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jc w:val="center"/>
        <w:rPr>
          <w:rFonts w:ascii="宋体" w:hAnsi="宋体" w:eastAsia="宋体" w:cs="宋体"/>
          <w:b/>
          <w:bCs/>
          <w:color w:val="333333"/>
          <w:szCs w:val="21"/>
        </w:rPr>
      </w:pPr>
      <w:r>
        <w:rPr>
          <w:rFonts w:hint="eastAsia" w:ascii="宋体" w:hAnsi="宋体" w:eastAsia="宋体" w:cs="宋体"/>
          <w:b/>
          <w:bCs/>
          <w:color w:val="333333"/>
          <w:szCs w:val="21"/>
        </w:rPr>
        <w:t>基于深度学习的中学化学学历案</w:t>
      </w:r>
      <w:r>
        <w:rPr>
          <w:rFonts w:hint="eastAsia" w:ascii="宋体" w:hAnsi="宋体" w:eastAsia="宋体" w:cs="宋体"/>
          <w:b/>
          <w:bCs/>
          <w:color w:val="333333"/>
          <w:szCs w:val="21"/>
          <w:lang w:val="en-US" w:eastAsia="zh-CN"/>
        </w:rPr>
        <w:t>的</w:t>
      </w:r>
      <w:bookmarkStart w:id="0" w:name="_GoBack"/>
      <w:bookmarkEnd w:id="0"/>
      <w:r>
        <w:rPr>
          <w:rFonts w:hint="eastAsia" w:ascii="宋体" w:hAnsi="宋体" w:eastAsia="宋体" w:cs="宋体"/>
          <w:b/>
          <w:bCs/>
          <w:color w:val="333333"/>
          <w:szCs w:val="21"/>
          <w:lang w:val="en-US" w:eastAsia="zh-CN"/>
        </w:rPr>
        <w:t>作业</w:t>
      </w:r>
      <w:r>
        <w:rPr>
          <w:rFonts w:hint="eastAsia" w:ascii="宋体" w:hAnsi="宋体" w:eastAsia="宋体" w:cs="宋体"/>
          <w:b/>
          <w:bCs/>
          <w:color w:val="333333"/>
          <w:szCs w:val="21"/>
        </w:rPr>
        <w:t>设计</w:t>
      </w:r>
      <w:r>
        <w:rPr>
          <w:rFonts w:hint="eastAsia" w:ascii="宋体" w:hAnsi="宋体" w:eastAsia="宋体" w:cs="宋体"/>
          <w:b/>
          <w:bCs/>
          <w:color w:val="333333"/>
          <w:szCs w:val="21"/>
          <w:lang w:val="en-US" w:eastAsia="zh-CN"/>
        </w:rPr>
        <w:t>与反思</w:t>
      </w:r>
      <w:r>
        <w:rPr>
          <w:rFonts w:hint="eastAsia" w:ascii="宋体" w:hAnsi="宋体" w:eastAsia="宋体" w:cs="宋体"/>
          <w:b/>
          <w:bCs/>
          <w:color w:val="333333"/>
          <w:szCs w:val="21"/>
        </w:rPr>
        <w:t>研究</w:t>
      </w:r>
    </w:p>
    <w:p>
      <w:pPr>
        <w:spacing w:line="400" w:lineRule="exact"/>
        <w:jc w:val="center"/>
        <w:rPr>
          <w:rFonts w:ascii="宋体" w:hAnsi="宋体" w:eastAsia="宋体" w:cs="宋体"/>
          <w:b/>
          <w:bCs/>
          <w:color w:val="333333"/>
          <w:szCs w:val="21"/>
        </w:rPr>
      </w:pPr>
      <w:r>
        <w:rPr>
          <w:rFonts w:hint="eastAsia" w:ascii="宋体" w:hAnsi="宋体" w:eastAsia="宋体" w:cs="宋体"/>
          <w:b/>
          <w:bCs/>
          <w:color w:val="333333"/>
          <w:szCs w:val="21"/>
          <w:lang w:eastAsia="zh-CN"/>
        </w:rPr>
        <w:t>——</w:t>
      </w:r>
      <w:r>
        <w:rPr>
          <w:rFonts w:ascii="宋体" w:hAnsi="宋体" w:eastAsia="宋体" w:cs="宋体"/>
          <w:b/>
          <w:bCs/>
          <w:color w:val="333333"/>
          <w:szCs w:val="21"/>
        </w:rPr>
        <w:t>崔正</w:t>
      </w:r>
      <w:r>
        <w:rPr>
          <w:rFonts w:hint="eastAsia" w:ascii="宋体" w:hAnsi="宋体" w:eastAsia="宋体" w:cs="宋体"/>
          <w:b/>
          <w:bCs/>
          <w:color w:val="333333"/>
          <w:szCs w:val="21"/>
        </w:rPr>
        <w:t>淳</w:t>
      </w:r>
      <w:r>
        <w:rPr>
          <w:rFonts w:ascii="宋体" w:hAnsi="宋体" w:eastAsia="宋体" w:cs="宋体"/>
          <w:b/>
          <w:bCs/>
          <w:color w:val="333333"/>
          <w:szCs w:val="21"/>
        </w:rPr>
        <w:t>工作室2022.2.24简讯</w:t>
      </w:r>
    </w:p>
    <w:p>
      <w:pPr>
        <w:spacing w:line="400" w:lineRule="exact"/>
        <w:jc w:val="center"/>
        <w:rPr>
          <w:rFonts w:ascii="宋体" w:hAnsi="宋体" w:eastAsia="宋体" w:cs="宋体"/>
          <w:b/>
          <w:bCs/>
          <w:color w:val="333333"/>
          <w:szCs w:val="21"/>
        </w:rPr>
      </w:pPr>
      <w:r>
        <w:rPr>
          <w:rFonts w:hint="eastAsia" w:ascii="宋体" w:hAnsi="宋体" w:eastAsia="宋体" w:cs="宋体"/>
          <w:b/>
          <w:bCs/>
          <w:color w:val="333333"/>
          <w:szCs w:val="21"/>
        </w:rPr>
        <w:t>文/苏丹</w:t>
      </w:r>
    </w:p>
    <w:p>
      <w:pPr>
        <w:spacing w:line="400" w:lineRule="exact"/>
        <w:ind w:firstLine="420" w:firstLineChars="200"/>
        <w:rPr>
          <w:rFonts w:ascii="宋体" w:hAnsi="宋体" w:eastAsia="宋体" w:cs="宋体"/>
          <w:color w:val="333333"/>
          <w:szCs w:val="21"/>
        </w:rPr>
      </w:pPr>
      <w:r>
        <w:rPr>
          <w:rFonts w:ascii="宋体" w:hAnsi="宋体" w:eastAsia="宋体" w:cs="宋体"/>
          <w:color w:val="333333"/>
          <w:szCs w:val="21"/>
        </w:rPr>
        <w:t>2022年2月2</w:t>
      </w:r>
      <w:r>
        <w:rPr>
          <w:rFonts w:hint="eastAsia" w:ascii="宋体" w:hAnsi="宋体" w:eastAsia="宋体" w:cs="宋体"/>
          <w:color w:val="333333"/>
          <w:szCs w:val="21"/>
        </w:rPr>
        <w:t>4</w:t>
      </w:r>
      <w:r>
        <w:rPr>
          <w:rFonts w:ascii="宋体" w:hAnsi="宋体" w:eastAsia="宋体" w:cs="宋体"/>
          <w:color w:val="333333"/>
          <w:szCs w:val="21"/>
        </w:rPr>
        <w:t>日</w:t>
      </w:r>
      <w:r>
        <w:rPr>
          <w:rFonts w:hint="eastAsia" w:ascii="宋体" w:hAnsi="宋体" w:eastAsia="宋体" w:cs="宋体"/>
          <w:color w:val="333333"/>
          <w:szCs w:val="21"/>
        </w:rPr>
        <w:t>下午，</w:t>
      </w:r>
      <w:r>
        <w:rPr>
          <w:rFonts w:ascii="宋体" w:hAnsi="宋体" w:eastAsia="宋体" w:cs="宋体"/>
          <w:color w:val="333333"/>
          <w:szCs w:val="21"/>
        </w:rPr>
        <w:t>成都市双流区名师崔正淳工作室全体成员相聚</w:t>
      </w:r>
      <w:r>
        <w:rPr>
          <w:rFonts w:hint="eastAsia" w:ascii="宋体" w:hAnsi="宋体" w:eastAsia="宋体" w:cs="宋体"/>
          <w:color w:val="333333"/>
          <w:szCs w:val="21"/>
        </w:rPr>
        <w:t>双流中学实验学校参与工作室研修活动。本次活动由双流中学实验学校苏丹教师上研究课、做专题讲座，黄艳丽教</w:t>
      </w:r>
      <w:r>
        <w:rPr>
          <w:rFonts w:ascii="宋体" w:hAnsi="宋体" w:eastAsia="宋体" w:cs="宋体"/>
          <w:color w:val="333333"/>
          <w:szCs w:val="21"/>
        </w:rPr>
        <w:t>师主持</w:t>
      </w:r>
      <w:r>
        <w:rPr>
          <w:rFonts w:hint="eastAsia" w:ascii="宋体" w:hAnsi="宋体" w:eastAsia="宋体" w:cs="宋体"/>
          <w:color w:val="333333"/>
          <w:szCs w:val="21"/>
        </w:rPr>
        <w:t>。</w:t>
      </w:r>
    </w:p>
    <w:p>
      <w:pPr>
        <w:spacing w:line="400" w:lineRule="exact"/>
        <w:ind w:firstLine="420" w:firstLineChars="200"/>
        <w:rPr>
          <w:rFonts w:ascii="宋体" w:hAnsi="宋体" w:eastAsia="宋体" w:cs="宋体"/>
          <w:color w:val="333333"/>
          <w:szCs w:val="21"/>
        </w:rPr>
      </w:pPr>
      <w:r>
        <w:rPr>
          <w:rFonts w:hint="eastAsia" w:ascii="宋体" w:hAnsi="宋体" w:eastAsia="宋体" w:cs="宋体"/>
          <w:color w:val="333333"/>
          <w:szCs w:val="21"/>
        </w:rPr>
        <w:t>首先是苏丹教师带来的《基于氯碱工业情境的含膜电解池模型分析》专题课的展示。苏丹老师以活动元的方式组织教学，以氯碱工业的简介</w:t>
      </w:r>
      <w:r>
        <w:rPr>
          <w:rFonts w:hint="eastAsia" w:ascii="宋体" w:hAnsi="宋体" w:eastAsia="宋体" w:cs="宋体"/>
          <w:color w:val="333333"/>
          <w:szCs w:val="21"/>
          <w:lang w:val="en-US" w:eastAsia="zh-CN"/>
        </w:rPr>
        <w:t>引</w:t>
      </w:r>
      <w:r>
        <w:rPr>
          <w:rFonts w:hint="eastAsia" w:ascii="宋体" w:hAnsi="宋体" w:eastAsia="宋体" w:cs="宋体"/>
          <w:color w:val="333333"/>
          <w:szCs w:val="21"/>
        </w:rPr>
        <w:t>入新课，通过学生分组实验，让学生体验</w:t>
      </w:r>
      <w:r>
        <w:rPr>
          <w:rFonts w:hint="eastAsia" w:ascii="Times New Roman" w:hAnsi="Times New Roman" w:eastAsia="宋体" w:cs="Times New Roman"/>
          <w:color w:val="000000"/>
          <w:szCs w:val="21"/>
        </w:rPr>
        <w:t>了氯碱工业最基础的模型</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首先通过分析了解电解饱和食盐水溶液电极反应方程式的书写及产物分析，加深对电解原理的理解</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lang w:val="en-US" w:eastAsia="zh-CN"/>
        </w:rPr>
        <w:t>然后</w:t>
      </w:r>
      <w:r>
        <w:rPr>
          <w:rFonts w:hint="eastAsia" w:ascii="Times New Roman" w:hAnsi="Times New Roman" w:eastAsia="宋体" w:cs="Times New Roman"/>
          <w:color w:val="000000"/>
          <w:szCs w:val="21"/>
        </w:rPr>
        <w:t>以实验室电解饱和氯化钠到氯碱工业的装置改进，引入“离子交换膜”。最后</w:t>
      </w:r>
      <w:r>
        <w:rPr>
          <w:rFonts w:hint="eastAsia" w:ascii="Times New Roman" w:hAnsi="Times New Roman" w:eastAsia="宋体" w:cs="Times New Roman"/>
        </w:rPr>
        <w:t>通过</w:t>
      </w:r>
      <w:r>
        <w:rPr>
          <w:rFonts w:ascii="Times New Roman" w:hAnsi="Times New Roman" w:eastAsia="宋体" w:cs="Times New Roman"/>
        </w:rPr>
        <w:t>不同</w:t>
      </w:r>
      <w:r>
        <w:rPr>
          <w:rFonts w:hint="eastAsia" w:ascii="Times New Roman" w:hAnsi="Times New Roman" w:eastAsia="宋体" w:cs="Times New Roman"/>
        </w:rPr>
        <w:t>电解质及不同</w:t>
      </w:r>
      <w:r>
        <w:rPr>
          <w:rFonts w:ascii="Times New Roman" w:hAnsi="Times New Roman" w:eastAsia="宋体" w:cs="Times New Roman"/>
        </w:rPr>
        <w:t>电解装置</w:t>
      </w:r>
      <w:r>
        <w:rPr>
          <w:rFonts w:hint="eastAsia" w:ascii="Times New Roman" w:hAnsi="Times New Roman" w:eastAsia="宋体" w:cs="Times New Roman"/>
        </w:rPr>
        <w:t>进行</w:t>
      </w:r>
      <w:r>
        <w:rPr>
          <w:rFonts w:ascii="Times New Roman" w:hAnsi="Times New Roman" w:eastAsia="宋体" w:cs="Times New Roman"/>
        </w:rPr>
        <w:t>分析，提炼出</w:t>
      </w:r>
      <w:r>
        <w:rPr>
          <w:rFonts w:hint="eastAsia" w:ascii="Times New Roman" w:hAnsi="Times New Roman" w:eastAsia="宋体" w:cs="Times New Roman"/>
        </w:rPr>
        <w:t>含膜</w:t>
      </w:r>
      <w:r>
        <w:rPr>
          <w:rFonts w:ascii="Times New Roman" w:hAnsi="Times New Roman" w:eastAsia="宋体" w:cs="Times New Roman"/>
        </w:rPr>
        <w:t>电解</w:t>
      </w:r>
      <w:r>
        <w:rPr>
          <w:rFonts w:hint="eastAsia" w:ascii="Times New Roman" w:hAnsi="Times New Roman" w:eastAsia="宋体" w:cs="Times New Roman"/>
          <w:lang w:val="en-US" w:eastAsia="zh-CN"/>
        </w:rPr>
        <w:t>的</w:t>
      </w:r>
      <w:r>
        <w:rPr>
          <w:rFonts w:ascii="Times New Roman" w:hAnsi="Times New Roman" w:eastAsia="宋体" w:cs="Times New Roman"/>
        </w:rPr>
        <w:t>模型</w:t>
      </w:r>
      <w:r>
        <w:rPr>
          <w:rFonts w:hint="eastAsia" w:ascii="Times New Roman" w:hAnsi="Times New Roman" w:eastAsia="宋体" w:cs="Times New Roman"/>
          <w:lang w:val="en-US" w:eastAsia="zh-CN"/>
        </w:rPr>
        <w:t>分析思路</w:t>
      </w:r>
      <w:r>
        <w:rPr>
          <w:rFonts w:hint="eastAsia" w:ascii="Times New Roman" w:hAnsi="Times New Roman" w:eastAsia="宋体" w:cs="Times New Roman"/>
        </w:rPr>
        <w:t>。</w:t>
      </w:r>
    </w:p>
    <w:p>
      <w:r>
        <w:rPr>
          <w:rFonts w:ascii="宋体" w:hAnsi="宋体" w:eastAsia="宋体" w:cs="宋体"/>
          <w:color w:val="333333"/>
          <w:szCs w:val="21"/>
        </w:rPr>
        <w:drawing>
          <wp:inline distT="0" distB="0" distL="0" distR="0">
            <wp:extent cx="5274310" cy="297497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t="24800"/>
                    <a:stretch>
                      <a:fillRect/>
                    </a:stretch>
                  </pic:blipFill>
                  <pic:spPr>
                    <a:xfrm>
                      <a:off x="0" y="0"/>
                      <a:ext cx="5274310" cy="2974975"/>
                    </a:xfrm>
                    <a:prstGeom prst="rect">
                      <a:avLst/>
                    </a:prstGeom>
                    <a:noFill/>
                    <a:ln>
                      <a:noFill/>
                    </a:ln>
                  </pic:spPr>
                </pic:pic>
              </a:graphicData>
            </a:graphic>
          </wp:inline>
        </w:drawing>
      </w:r>
    </w:p>
    <w:p>
      <w:pPr>
        <w:spacing w:line="400" w:lineRule="exact"/>
        <w:ind w:firstLine="2310" w:firstLineChars="1100"/>
        <w:rPr>
          <w:rFonts w:ascii="宋体" w:hAnsi="宋体" w:eastAsia="宋体" w:cs="宋体"/>
          <w:color w:val="333333"/>
          <w:szCs w:val="21"/>
        </w:rPr>
      </w:pPr>
      <w:r>
        <w:rPr>
          <w:rFonts w:hint="eastAsia" w:ascii="宋体" w:hAnsi="宋体" w:eastAsia="宋体" w:cs="宋体"/>
          <w:color w:val="333333"/>
          <w:szCs w:val="21"/>
        </w:rPr>
        <w:t>图1 工作室苏丹老师上课</w:t>
      </w:r>
    </w:p>
    <w:p>
      <w:pPr>
        <w:spacing w:line="400" w:lineRule="exact"/>
        <w:ind w:firstLine="420" w:firstLineChars="200"/>
        <w:rPr>
          <w:rFonts w:ascii="宋体" w:hAnsi="宋体" w:eastAsia="宋体" w:cs="宋体"/>
          <w:color w:val="333333"/>
          <w:szCs w:val="21"/>
        </w:rPr>
      </w:pPr>
      <w:r>
        <w:rPr>
          <w:rFonts w:hint="eastAsia"/>
        </w:rPr>
        <w:t xml:space="preserve"> </w:t>
      </w:r>
      <w:r>
        <w:rPr>
          <w:rFonts w:hint="eastAsia" w:ascii="宋体" w:hAnsi="宋体" w:eastAsia="宋体" w:cs="宋体"/>
          <w:color w:val="333333"/>
          <w:szCs w:val="21"/>
          <w:lang w:val="en-US" w:eastAsia="zh-CN"/>
        </w:rPr>
        <w:t>其次</w:t>
      </w:r>
      <w:r>
        <w:rPr>
          <w:rFonts w:hint="eastAsia" w:ascii="宋体" w:hAnsi="宋体" w:eastAsia="宋体" w:cs="宋体"/>
          <w:color w:val="333333"/>
          <w:szCs w:val="21"/>
        </w:rPr>
        <w:t>由苏丹</w:t>
      </w:r>
      <w:r>
        <w:rPr>
          <w:rFonts w:hint="eastAsia" w:ascii="宋体" w:hAnsi="宋体" w:eastAsia="宋体" w:cs="宋体"/>
          <w:color w:val="333333"/>
          <w:szCs w:val="21"/>
          <w:lang w:val="en-US" w:eastAsia="zh-CN"/>
        </w:rPr>
        <w:t>老师</w:t>
      </w:r>
      <w:r>
        <w:rPr>
          <w:rFonts w:hint="eastAsia" w:ascii="宋体" w:hAnsi="宋体" w:eastAsia="宋体" w:cs="宋体"/>
          <w:color w:val="333333"/>
          <w:szCs w:val="21"/>
        </w:rPr>
        <w:t>开展讲座《基于深度学习的中学化学学历案作业设计及学后反思》，工作室学员一起研修学历案完善策略。崔老师从“双新”背景下高中化学作业设计的研究与思考、高中化学作业面临的问题、基于学历案的作业设计和如何指导学生学后反思策略四个方面进行重点介绍。随着“双新”的全面推进</w:t>
      </w:r>
      <w:r>
        <w:rPr>
          <w:rFonts w:ascii="宋体" w:hAnsi="宋体" w:eastAsia="宋体" w:cs="宋体"/>
          <w:color w:val="333333"/>
          <w:szCs w:val="21"/>
        </w:rPr>
        <w:t>,高中学科教学改革成为社会瞩目的焦点。作业历来是教学活动中不可或缺的一环,作为课堂教学的重要补充与延伸,作业设计的意义不言而喻。</w:t>
      </w:r>
      <w:r>
        <w:rPr>
          <w:rFonts w:hint="eastAsia" w:ascii="宋体" w:hAnsi="宋体" w:eastAsia="宋体" w:cs="宋体"/>
          <w:color w:val="333333"/>
          <w:szCs w:val="21"/>
        </w:rPr>
        <w:t>因此如何更好地发挥其效能</w:t>
      </w:r>
      <w:r>
        <w:rPr>
          <w:rFonts w:ascii="宋体" w:hAnsi="宋体" w:eastAsia="宋体" w:cs="宋体"/>
          <w:color w:val="333333"/>
          <w:szCs w:val="21"/>
        </w:rPr>
        <w:t>,配合课堂教学培育学生化学学科核心素养,使学生以有限的精力,在有限的时间里提高化学学习效率,形成化学学科思维力,提升自主学习能力,这是教师应当深入思考的问题。</w:t>
      </w:r>
      <w:r>
        <w:rPr>
          <w:rFonts w:hint="eastAsia" w:ascii="宋体" w:hAnsi="宋体" w:eastAsia="宋体" w:cs="宋体"/>
          <w:color w:val="333333"/>
          <w:szCs w:val="21"/>
        </w:rPr>
        <w:t>作业是学生活动的延续，因此作业的设计应该根据课标和课堂实际学习情况来制定，同时应该考虑到学生的个性差异，实施作业分层设计；为控制作业量同时发展学生思维，可以设计一题多解或是一题多变的题型等；根据学历案的构成要素，在学历案的课堂教学之外，设置“学后反思”部分，根据反思和反思能力的有关理论知识，按照当前高中学生的化学学科反思能力现状，应运用多种教学策略，如“问题导思”、“思维导图”等培养学生的反思能力，进一步实现深度学习。</w:t>
      </w:r>
    </w:p>
    <w:p>
      <w:r>
        <w:drawing>
          <wp:inline distT="0" distB="0" distL="0" distR="0">
            <wp:extent cx="5274310" cy="296037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t="25161"/>
                    <a:stretch>
                      <a:fillRect/>
                    </a:stretch>
                  </pic:blipFill>
                  <pic:spPr>
                    <a:xfrm>
                      <a:off x="0" y="0"/>
                      <a:ext cx="5274310" cy="2960688"/>
                    </a:xfrm>
                    <a:prstGeom prst="rect">
                      <a:avLst/>
                    </a:prstGeom>
                    <a:noFill/>
                    <a:ln>
                      <a:noFill/>
                    </a:ln>
                  </pic:spPr>
                </pic:pic>
              </a:graphicData>
            </a:graphic>
          </wp:inline>
        </w:drawing>
      </w:r>
    </w:p>
    <w:p>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图2  苏丹</w:t>
      </w:r>
      <w:r>
        <w:rPr>
          <w:rFonts w:hint="eastAsia" w:ascii="宋体" w:hAnsi="宋体" w:eastAsia="宋体" w:cs="宋体"/>
          <w:color w:val="000000" w:themeColor="text1"/>
          <w:szCs w:val="21"/>
          <w:lang w:val="en-US" w:eastAsia="zh-CN"/>
          <w14:textFill>
            <w14:solidFill>
              <w14:schemeClr w14:val="tx1"/>
            </w14:solidFill>
          </w14:textFill>
        </w:rPr>
        <w:t>老师</w:t>
      </w:r>
      <w:r>
        <w:rPr>
          <w:rFonts w:hint="eastAsia" w:ascii="宋体" w:hAnsi="宋体" w:eastAsia="宋体" w:cs="宋体"/>
          <w:color w:val="000000" w:themeColor="text1"/>
          <w:szCs w:val="21"/>
          <w14:textFill>
            <w14:solidFill>
              <w14:schemeClr w14:val="tx1"/>
            </w14:solidFill>
          </w14:textFill>
        </w:rPr>
        <w:t>专题讲座</w:t>
      </w:r>
    </w:p>
    <w:p>
      <w:pPr>
        <w:widowControl/>
        <w:ind w:firstLine="420" w:firstLineChars="200"/>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然后工作室黄莎莎老师对“基于深度学习的中学化学学历案的设计研究”2022年度课题研修计划进行讲解安排，工作室学员按照要求进行文献资料整理，学历案六要素进行研究并进行专题讲座，每位老师在编制学历案的过程中需撰写研究心得并整理成论文。</w:t>
      </w:r>
    </w:p>
    <w:p>
      <w:pPr>
        <w:widowControl/>
        <w:ind w:firstLine="420" w:firstLineChars="200"/>
        <w:jc w:val="left"/>
        <w:rPr>
          <w:rFonts w:ascii="Times New Roman" w:hAnsi="Times New Roman" w:eastAsia="宋体" w:cs="Times New Roman"/>
          <w:color w:val="000000" w:themeColor="text1"/>
          <w:kern w:val="0"/>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最后</w:t>
      </w:r>
      <w:r>
        <w:rPr>
          <w:rFonts w:hint="eastAsia" w:ascii="宋体" w:hAnsi="宋体" w:eastAsia="宋体" w:cs="宋体"/>
          <w:color w:val="000000" w:themeColor="text1"/>
          <w:szCs w:val="21"/>
          <w14:textFill>
            <w14:solidFill>
              <w14:schemeClr w14:val="tx1"/>
            </w14:solidFill>
          </w14:textFill>
        </w:rPr>
        <w:t>全体工作室成员对苏丹老师的研究课进行点评。大家一致认为</w:t>
      </w:r>
      <w:r>
        <w:rPr>
          <w:rFonts w:hint="eastAsia" w:ascii="宋体" w:hAnsi="宋体" w:eastAsia="宋体" w:cs="宋体"/>
          <w:color w:val="000000" w:themeColor="text1"/>
          <w:szCs w:val="21"/>
          <w:lang w:val="en-US" w:eastAsia="zh-CN"/>
          <w14:textFill>
            <w14:solidFill>
              <w14:schemeClr w14:val="tx1"/>
            </w14:solidFill>
          </w14:textFill>
        </w:rPr>
        <w:t>苏丹</w:t>
      </w:r>
      <w:r>
        <w:rPr>
          <w:rFonts w:hint="eastAsia" w:ascii="宋体" w:hAnsi="宋体" w:eastAsia="宋体" w:cs="宋体"/>
          <w:color w:val="000000" w:themeColor="text1"/>
          <w:szCs w:val="21"/>
          <w14:textFill>
            <w14:solidFill>
              <w14:schemeClr w14:val="tx1"/>
            </w14:solidFill>
          </w14:textFill>
        </w:rPr>
        <w:t>老师的学历案教学设计逻辑清晰，从氯碱工业最基础的实验室电解饱和实验水再到引入离子交换膜改进装置，最后分析真实的工业模型，活动元的内容安排符合学生的认知规律。</w:t>
      </w:r>
      <w:r>
        <w:rPr>
          <w:rFonts w:ascii="Times New Roman" w:hAnsi="Times New Roman" w:eastAsia="宋体" w:cs="Times New Roman"/>
          <w:color w:val="000000" w:themeColor="text1"/>
          <w:kern w:val="0"/>
          <w:szCs w:val="21"/>
          <w14:textFill>
            <w14:solidFill>
              <w14:schemeClr w14:val="tx1"/>
            </w14:solidFill>
          </w14:textFill>
        </w:rPr>
        <w:t>通过活用</w:t>
      </w:r>
      <w:r>
        <w:rPr>
          <w:rFonts w:hint="eastAsia" w:ascii="Times New Roman" w:hAnsi="Times New Roman" w:eastAsia="宋体" w:cs="Times New Roman"/>
          <w:color w:val="000000" w:themeColor="text1"/>
          <w:kern w:val="0"/>
          <w:szCs w:val="21"/>
          <w14:textFill>
            <w14:solidFill>
              <w14:schemeClr w14:val="tx1"/>
            </w14:solidFill>
          </w14:textFill>
        </w:rPr>
        <w:t>含膜电解池模型</w:t>
      </w:r>
      <w:r>
        <w:rPr>
          <w:rFonts w:ascii="Times New Roman" w:hAnsi="Times New Roman" w:eastAsia="宋体" w:cs="Times New Roman"/>
          <w:color w:val="000000" w:themeColor="text1"/>
          <w:kern w:val="0"/>
          <w:szCs w:val="21"/>
          <w14:textFill>
            <w14:solidFill>
              <w14:schemeClr w14:val="tx1"/>
            </w14:solidFill>
          </w14:textFill>
        </w:rPr>
        <w:t>解决物质制备等实际问题，提升</w:t>
      </w:r>
      <w:r>
        <w:rPr>
          <w:rFonts w:hint="eastAsia" w:ascii="Times New Roman" w:hAnsi="Times New Roman" w:eastAsia="宋体" w:cs="Times New Roman"/>
          <w:color w:val="000000" w:themeColor="text1"/>
          <w:kern w:val="0"/>
          <w:szCs w:val="21"/>
          <w14:textFill>
            <w14:solidFill>
              <w14:schemeClr w14:val="tx1"/>
            </w14:solidFill>
          </w14:textFill>
        </w:rPr>
        <w:t>了</w:t>
      </w:r>
      <w:r>
        <w:rPr>
          <w:rFonts w:ascii="Times New Roman" w:hAnsi="Times New Roman" w:eastAsia="宋体" w:cs="Times New Roman"/>
          <w:color w:val="000000" w:themeColor="text1"/>
          <w:kern w:val="0"/>
          <w:szCs w:val="21"/>
          <w14:textFill>
            <w14:solidFill>
              <w14:schemeClr w14:val="tx1"/>
            </w14:solidFill>
          </w14:textFill>
        </w:rPr>
        <w:t>知识到新情境问题的迁移能力，认识知识与生产技术的融合，感受化学学科价值，增强</w:t>
      </w:r>
      <w:r>
        <w:rPr>
          <w:rFonts w:hint="eastAsia" w:ascii="Times New Roman" w:hAnsi="Times New Roman" w:eastAsia="宋体" w:cs="Times New Roman"/>
          <w:color w:val="000000" w:themeColor="text1"/>
          <w:kern w:val="0"/>
          <w:szCs w:val="21"/>
          <w14:textFill>
            <w14:solidFill>
              <w14:schemeClr w14:val="tx1"/>
            </w14:solidFill>
          </w14:textFill>
        </w:rPr>
        <w:t>了</w:t>
      </w:r>
      <w:r>
        <w:rPr>
          <w:rFonts w:ascii="Times New Roman" w:hAnsi="Times New Roman" w:eastAsia="宋体" w:cs="Times New Roman"/>
          <w:color w:val="000000" w:themeColor="text1"/>
          <w:kern w:val="0"/>
          <w:szCs w:val="21"/>
          <w14:textFill>
            <w14:solidFill>
              <w14:schemeClr w14:val="tx1"/>
            </w14:solidFill>
          </w14:textFill>
        </w:rPr>
        <w:t>社会责任感。</w:t>
      </w:r>
    </w:p>
    <w:p>
      <w:pPr>
        <w:spacing w:line="400" w:lineRule="exact"/>
        <w:ind w:firstLine="420" w:firstLineChars="200"/>
        <w:rPr>
          <w:rFonts w:ascii="宋体" w:hAnsi="宋体" w:eastAsia="宋体" w:cs="宋体"/>
          <w:color w:val="333333"/>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9B"/>
    <w:rsid w:val="000E7B08"/>
    <w:rsid w:val="00491C9B"/>
    <w:rsid w:val="005B1BBC"/>
    <w:rsid w:val="007134E2"/>
    <w:rsid w:val="00A25040"/>
    <w:rsid w:val="00A81B48"/>
    <w:rsid w:val="00AB4529"/>
    <w:rsid w:val="00BB1509"/>
    <w:rsid w:val="00F06EFA"/>
    <w:rsid w:val="00FB53FE"/>
    <w:rsid w:val="2DB15E0A"/>
    <w:rsid w:val="36CB6BD2"/>
    <w:rsid w:val="5FAC27DA"/>
    <w:rsid w:val="63F4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156</Words>
  <Characters>891</Characters>
  <Lines>7</Lines>
  <Paragraphs>2</Paragraphs>
  <TotalTime>10</TotalTime>
  <ScaleCrop>false</ScaleCrop>
  <LinksUpToDate>false</LinksUpToDate>
  <CharactersWithSpaces>1045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2022-02-25T11:00:00Z</dcterms:created>
  <dc:creator>he min</dc:creator>
  <cp:lastModifiedBy>sl</cp:lastModifiedBy>
  <dcterms:modified xsi:type="dcterms:W3CDTF">2022-02-26T09:06:47Z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C2CB9EA1DD4545989A22A923C136B0E4</vt:lpwstr>
  </property>
</Properties>
</file>