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E2" w:rsidRDefault="00CD57E2" w:rsidP="00CD57E2">
      <w:pPr>
        <w:spacing w:line="360" w:lineRule="auto"/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                 微课教学设计方案</w:t>
      </w:r>
    </w:p>
    <w:tbl>
      <w:tblPr>
        <w:tblW w:w="0" w:type="auto"/>
        <w:jc w:val="center"/>
        <w:tblLayout w:type="fixed"/>
        <w:tblLook w:val="0000"/>
      </w:tblPr>
      <w:tblGrid>
        <w:gridCol w:w="1362"/>
        <w:gridCol w:w="3664"/>
        <w:gridCol w:w="1435"/>
        <w:gridCol w:w="2516"/>
      </w:tblGrid>
      <w:tr w:rsidR="00CD57E2" w:rsidTr="000A6650">
        <w:trPr>
          <w:trHeight w:val="469"/>
          <w:jc w:val="center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微课名称</w:t>
            </w:r>
          </w:p>
        </w:tc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CD57E2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1"/>
              </w:rPr>
              <w:t>用几何画板观察旋转角问题例题分析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教师姓名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1"/>
              </w:rPr>
              <w:t>余蕾</w:t>
            </w:r>
          </w:p>
        </w:tc>
      </w:tr>
      <w:tr w:rsidR="00CD57E2" w:rsidTr="000A6650">
        <w:trPr>
          <w:trHeight w:val="419"/>
          <w:jc w:val="center"/>
        </w:trPr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napToGrid w:val="0"/>
              <w:jc w:val="left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1"/>
              </w:rPr>
              <w:t>双流中学实验学校</w:t>
            </w:r>
          </w:p>
        </w:tc>
      </w:tr>
      <w:tr w:rsidR="00CD57E2" w:rsidTr="000A6650">
        <w:trPr>
          <w:trHeight w:val="1196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276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知识点</w:t>
            </w:r>
          </w:p>
          <w:p w:rsidR="00CD57E2" w:rsidRDefault="00CD57E2" w:rsidP="000A6650">
            <w:pPr>
              <w:widowControl/>
              <w:spacing w:line="276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来源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360" w:lineRule="auto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学科：数学   年级：七年级  教材版本：北师大版 所属章节：第四章</w:t>
            </w:r>
          </w:p>
          <w:p w:rsidR="00CD57E2" w:rsidRDefault="00CD57E2" w:rsidP="000A6650">
            <w:pPr>
              <w:widowControl/>
              <w:spacing w:line="360" w:lineRule="auto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知识点描述：有关旋转角及角平分线的几何综合问题。</w:t>
            </w:r>
          </w:p>
        </w:tc>
      </w:tr>
      <w:tr w:rsidR="00CD57E2" w:rsidTr="000A6650">
        <w:trPr>
          <w:trHeight w:val="808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教学类型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E2" w:rsidRDefault="00CD57E2" w:rsidP="00CD57E2">
            <w:pPr>
              <w:widowControl/>
              <w:spacing w:line="360" w:lineRule="auto"/>
              <w:ind w:firstLine="240"/>
              <w:jc w:val="left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□讲授型 □问答型 □启发型 □讨论型 √演示型 □实验型 □练习型 □表演型 □自主学习型 □合作学习型 □探究学习型 □其他</w:t>
            </w:r>
          </w:p>
        </w:tc>
      </w:tr>
      <w:tr w:rsidR="00CD57E2" w:rsidTr="000A6650">
        <w:trPr>
          <w:trHeight w:val="917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276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录制工具</w:t>
            </w:r>
          </w:p>
          <w:p w:rsidR="00CD57E2" w:rsidRDefault="00CD57E2" w:rsidP="000A6650">
            <w:pPr>
              <w:widowControl/>
              <w:spacing w:line="276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和方法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  <w:t>几何画板软件；喵影工厂软件。</w:t>
            </w:r>
          </w:p>
        </w:tc>
      </w:tr>
      <w:tr w:rsidR="00CD57E2" w:rsidTr="000A6650">
        <w:trPr>
          <w:trHeight w:val="1642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设计思路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E2" w:rsidRDefault="00025BE2" w:rsidP="00344BFB">
            <w:pPr>
              <w:widowControl/>
              <w:snapToGrid w:val="0"/>
              <w:spacing w:line="360" w:lineRule="auto"/>
              <w:ind w:firstLine="480"/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  <w:t>北师大版数学教材七年级上册第四章《基本平面图形》是七年级学生的几何门课程，对于初一学生来讲，几何入门已是难点，但根据学情，对于思维较好的一部分学生来讲，可以适当拓展较难的综合题。我选取了一道综合了角平分线及旋转角的几何综合题，来做拓展。但七年级学生的抽象思维能力确实还是不强的，因此用几何画板的动态效果来帮助学生观察和理解有旋转</w:t>
            </w:r>
            <w:r w:rsidR="00344BFB"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  <w:t>背景的几何综合题很有必要。</w:t>
            </w:r>
          </w:p>
        </w:tc>
      </w:tr>
      <w:tr w:rsidR="00CD57E2" w:rsidTr="000A6650">
        <w:trPr>
          <w:trHeight w:val="743"/>
          <w:jc w:val="center"/>
        </w:trPr>
        <w:tc>
          <w:tcPr>
            <w:tcW w:w="8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360" w:lineRule="auto"/>
              <w:ind w:left="876" w:hanging="876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教学设计内容</w:t>
            </w:r>
          </w:p>
        </w:tc>
      </w:tr>
      <w:tr w:rsidR="00CD57E2" w:rsidTr="000A6650">
        <w:trPr>
          <w:trHeight w:val="1042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276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教学目的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E2" w:rsidRDefault="00C574F6" w:rsidP="000A6650">
            <w:pPr>
              <w:widowControl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  <w:t>让学生在几何画板</w:t>
            </w:r>
            <w:r w:rsidR="00E11102"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  <w:t>软件效果的帮助下，理解并解决一道综合性问题。提高学生分析问题的能力。</w:t>
            </w:r>
          </w:p>
        </w:tc>
      </w:tr>
      <w:tr w:rsidR="00CD57E2" w:rsidTr="000A6650">
        <w:trPr>
          <w:trHeight w:val="1078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276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教学重点</w:t>
            </w:r>
          </w:p>
          <w:p w:rsidR="00CD57E2" w:rsidRDefault="00CD57E2" w:rsidP="000A6650">
            <w:pPr>
              <w:widowControl/>
              <w:spacing w:line="276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难点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E2" w:rsidRDefault="00E11102" w:rsidP="000A6650">
            <w:pPr>
              <w:widowControl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>分析变化中的“不变量”。分析角与角的和差关系。</w:t>
            </w:r>
          </w:p>
        </w:tc>
      </w:tr>
      <w:tr w:rsidR="00CD57E2" w:rsidTr="000A6650">
        <w:trPr>
          <w:trHeight w:val="1643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276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教学过程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E2" w:rsidRDefault="00E11102" w:rsidP="000A6650">
            <w:pPr>
              <w:widowControl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  <w:t>1、分析特殊情况；</w:t>
            </w:r>
          </w:p>
          <w:p w:rsidR="00E11102" w:rsidRDefault="00E11102" w:rsidP="000A6650">
            <w:pPr>
              <w:widowControl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  <w:t>2、为什么要分类讨论；</w:t>
            </w:r>
          </w:p>
          <w:p w:rsidR="00E11102" w:rsidRDefault="00E11102" w:rsidP="000A6650">
            <w:pPr>
              <w:widowControl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  <w:t>3、每种情况下如何分析角与角的和差关系，解决问题。</w:t>
            </w:r>
          </w:p>
          <w:p w:rsidR="00E11102" w:rsidRDefault="00E11102" w:rsidP="000A6650">
            <w:pPr>
              <w:widowControl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  <w:t>4、总结反思。</w:t>
            </w:r>
          </w:p>
        </w:tc>
      </w:tr>
      <w:tr w:rsidR="00CD57E2" w:rsidTr="000A6650">
        <w:trPr>
          <w:trHeight w:val="705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276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应用说明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E2" w:rsidRDefault="00E11102" w:rsidP="000A6650">
            <w:pPr>
              <w:widowControl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  <w:t>帮助学生理解旋转状态中角与角之间不变的关系。</w:t>
            </w:r>
          </w:p>
        </w:tc>
      </w:tr>
      <w:tr w:rsidR="00CD57E2" w:rsidTr="000A6650">
        <w:trPr>
          <w:trHeight w:val="1050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7E2" w:rsidRDefault="00CD57E2" w:rsidP="000A6650">
            <w:pPr>
              <w:widowControl/>
              <w:spacing w:line="276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教学总结</w:t>
            </w:r>
          </w:p>
          <w:p w:rsidR="00CD57E2" w:rsidRDefault="00CD57E2" w:rsidP="000A6650">
            <w:pPr>
              <w:widowControl/>
              <w:spacing w:line="276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和反思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E2" w:rsidRDefault="00B76662" w:rsidP="00B76662">
            <w:pPr>
              <w:widowControl/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  <w:t>几何中有关动态旋转的问题是较难的，但通过几何画板的功能动态展示，让学生能形象地观察，降低了想象的难度，能帮助初一学生解决难题，提高学习几何的兴趣。但解决问题方法的总结更重要，思维的训练更重要，解决本题更重要的是培养</w:t>
            </w:r>
            <w:r w:rsidR="00CE7B2F">
              <w:rPr>
                <w:rFonts w:ascii="仿宋_GB2312" w:eastAsia="仿宋_GB2312" w:hAnsi="仿宋_GB2312" w:cs="仿宋_GB2312" w:hint="eastAsia"/>
                <w:iCs/>
                <w:color w:val="000000"/>
                <w:kern w:val="0"/>
                <w:sz w:val="24"/>
              </w:rPr>
              <w:t>学生分析哪些角能用已知角及旋转角来表示，即分析变化中的“不变”。</w:t>
            </w:r>
          </w:p>
        </w:tc>
      </w:tr>
    </w:tbl>
    <w:p w:rsidR="00AC14D5" w:rsidRDefault="00AC14D5"/>
    <w:sectPr w:rsidR="00AC1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4D5" w:rsidRDefault="00AC14D5" w:rsidP="00CD57E2">
      <w:r>
        <w:separator/>
      </w:r>
    </w:p>
  </w:endnote>
  <w:endnote w:type="continuationSeparator" w:id="1">
    <w:p w:rsidR="00AC14D5" w:rsidRDefault="00AC14D5" w:rsidP="00CD5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4D5" w:rsidRDefault="00AC14D5" w:rsidP="00CD57E2">
      <w:r>
        <w:separator/>
      </w:r>
    </w:p>
  </w:footnote>
  <w:footnote w:type="continuationSeparator" w:id="1">
    <w:p w:rsidR="00AC14D5" w:rsidRDefault="00AC14D5" w:rsidP="00CD5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7E2"/>
    <w:rsid w:val="00025BE2"/>
    <w:rsid w:val="00344BFB"/>
    <w:rsid w:val="00AC14D5"/>
    <w:rsid w:val="00B76662"/>
    <w:rsid w:val="00C574F6"/>
    <w:rsid w:val="00CD57E2"/>
    <w:rsid w:val="00CE7B2F"/>
    <w:rsid w:val="00E1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CD57E2"/>
    <w:pPr>
      <w:widowControl w:val="0"/>
      <w:suppressAutoHyphens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7E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7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7E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7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2019-12-28T12:31:00Z</dcterms:created>
  <dcterms:modified xsi:type="dcterms:W3CDTF">2019-12-28T13:04:00Z</dcterms:modified>
</cp:coreProperties>
</file>