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钢琴奏鸣曲《月光》第三乐章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教学方案</w:t>
      </w:r>
    </w:p>
    <w:p>
      <w:pPr>
        <w:spacing w:line="360" w:lineRule="exact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双流艺体中学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冯梓原</w:t>
      </w:r>
    </w:p>
    <w:p>
      <w:pPr>
        <w:spacing w:line="360" w:lineRule="exact"/>
        <w:jc w:val="right"/>
        <w:rPr>
          <w:rFonts w:hint="eastAsia"/>
          <w:b/>
        </w:rPr>
      </w:pPr>
    </w:p>
    <w:p>
      <w:pPr>
        <w:spacing w:line="360" w:lineRule="exact"/>
        <w:jc w:val="left"/>
        <w:rPr>
          <w:rFonts w:hint="eastAsia"/>
          <w:b/>
          <w:sz w:val="24"/>
          <w:szCs w:val="24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学情分析：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该生有一定的钢琴基础，但基本功不够扎实，在音乐理解上也有不足，选择本作的目的在于强化学生的手指快速弹奏能力，并提升他的音乐感觉和音乐理解。本堂课主要讲解作品的引子部分，旨在完成乐段识谱并掌握本段的技术要点，做到基本完整的演奏本乐段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`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教学目标：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让学生简单了解作品的风格特点；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完成作品引子部分的弹奏。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教学重点：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熟练掌握乐段的技术要点，并基本流畅的演奏乐段。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教学难点：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双手交替的快速跑动音型弹奏。</w:t>
      </w:r>
    </w:p>
    <w:p>
      <w:pPr>
        <w:spacing w:line="360" w:lineRule="exact"/>
        <w:jc w:val="left"/>
        <w:rPr>
          <w:rFonts w:hint="eastAsia"/>
          <w:sz w:val="28"/>
          <w:szCs w:val="28"/>
        </w:rPr>
      </w:pPr>
    </w:p>
    <w:p>
      <w:pPr>
        <w:spacing w:line="360" w:lineRule="exact"/>
        <w:jc w:val="left"/>
        <w:rPr>
          <w:rFonts w:hint="eastAsia"/>
          <w:sz w:val="28"/>
          <w:szCs w:val="28"/>
        </w:rPr>
      </w:pPr>
    </w:p>
    <w:p>
      <w:pPr>
        <w:spacing w:line="3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教具准备：</w:t>
      </w:r>
      <w:r>
        <w:rPr>
          <w:rFonts w:hint="eastAsia"/>
          <w:sz w:val="28"/>
          <w:szCs w:val="28"/>
        </w:rPr>
        <w:t>钢琴</w:t>
      </w:r>
    </w:p>
    <w:p>
      <w:pPr>
        <w:spacing w:line="360" w:lineRule="exact"/>
        <w:jc w:val="left"/>
        <w:rPr>
          <w:rFonts w:hint="eastAsia"/>
          <w:sz w:val="28"/>
          <w:szCs w:val="28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jc w:val="left"/>
        <w:rPr>
          <w:rFonts w:hint="eastAsia"/>
          <w:b/>
          <w:sz w:val="24"/>
          <w:szCs w:val="24"/>
        </w:rPr>
      </w:pPr>
    </w:p>
    <w:p>
      <w:pPr>
        <w:spacing w:line="0" w:lineRule="atLeast"/>
        <w:jc w:val="left"/>
        <w:rPr>
          <w:rFonts w:hint="eastAsia"/>
          <w:b/>
          <w:sz w:val="24"/>
          <w:szCs w:val="24"/>
        </w:rPr>
      </w:pPr>
    </w:p>
    <w:p>
      <w:pPr>
        <w:spacing w:line="0" w:lineRule="atLeast"/>
        <w:jc w:val="left"/>
        <w:rPr>
          <w:rFonts w:hint="eastAsia"/>
          <w:b/>
          <w:sz w:val="24"/>
          <w:szCs w:val="24"/>
        </w:rPr>
      </w:pPr>
    </w:p>
    <w:p>
      <w:pPr>
        <w:spacing w:line="0" w:lineRule="atLeast"/>
        <w:jc w:val="left"/>
        <w:rPr>
          <w:rFonts w:hint="eastAsia"/>
          <w:b/>
          <w:sz w:val="28"/>
          <w:szCs w:val="28"/>
        </w:rPr>
      </w:pPr>
    </w:p>
    <w:p>
      <w:pPr>
        <w:spacing w:line="0" w:lineRule="atLeast"/>
        <w:jc w:val="left"/>
        <w:rPr>
          <w:rFonts w:hint="eastAsia"/>
          <w:b/>
          <w:sz w:val="28"/>
          <w:szCs w:val="28"/>
        </w:rPr>
      </w:pPr>
    </w:p>
    <w:p>
      <w:pPr>
        <w:spacing w:line="0" w:lineRule="atLeast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教学过程：</w:t>
      </w:r>
    </w:p>
    <w:p>
      <w:pPr>
        <w:rPr>
          <w:rFonts w:ascii="宋体" w:hAnsi="宋体"/>
        </w:rPr>
      </w:pPr>
      <w:r>
        <w:rPr>
          <w:rFonts w:hint="eastAsia"/>
          <w:b/>
          <w:sz w:val="24"/>
          <w:szCs w:val="24"/>
        </w:rPr>
        <w:t xml:space="preserve">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236"/>
        <w:gridCol w:w="2145"/>
        <w:gridCol w:w="2115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Times New Roman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教学</w:t>
            </w:r>
          </w:p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环节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设计意图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导入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hint="eastAsia" w:ascii="Times New Roman" w:hAnsi="Times New Roman" w:cs="宋体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b w:val="0"/>
                <w:bCs w:val="0"/>
                <w:kern w:val="2"/>
                <w:sz w:val="21"/>
                <w:szCs w:val="21"/>
              </w:rPr>
              <w:t>1. 指导学生进行热身练习：</w:t>
            </w:r>
            <w:r>
              <w:rPr>
                <w:rFonts w:hint="eastAsia" w:ascii="Times New Roman" w:hAnsi="Times New Roman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升</w:t>
            </w:r>
            <w:r>
              <w:rPr>
                <w:rFonts w:hint="eastAsia" w:ascii="Times New Roman" w:hAnsi="Times New Roman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c小</w:t>
            </w:r>
            <w:r>
              <w:rPr>
                <w:rFonts w:hint="eastAsia" w:ascii="Times New Roman" w:hAnsi="Times New Roman" w:cs="宋体" w:eastAsiaTheme="minorEastAsia"/>
                <w:b w:val="0"/>
                <w:bCs w:val="0"/>
                <w:kern w:val="2"/>
                <w:sz w:val="21"/>
                <w:szCs w:val="21"/>
              </w:rPr>
              <w:t>调音阶和琶音。</w:t>
            </w:r>
          </w:p>
          <w:p>
            <w:pPr>
              <w:autoSpaceDE w:val="0"/>
              <w:jc w:val="left"/>
              <w:rPr>
                <w:rFonts w:hint="eastAsia" w:ascii="Times New Roman" w:hAnsi="Times New Roman" w:cs="宋体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  <w:p>
            <w:pPr>
              <w:autoSpaceDE w:val="0"/>
              <w:rPr>
                <w:rFonts w:hint="eastAsia" w:ascii="Times New Roman" w:hAnsi="Times New Roman" w:cs="宋体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b w:val="0"/>
                <w:bCs w:val="0"/>
                <w:kern w:val="2"/>
                <w:sz w:val="21"/>
                <w:szCs w:val="21"/>
              </w:rPr>
              <w:t xml:space="preserve">2. </w:t>
            </w:r>
            <w:r>
              <w:rPr>
                <w:rFonts w:hint="eastAsia" w:ascii="Times New Roman" w:hAnsi="Times New Roman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弹奏贝多芬奏鸣曲《暴风雨》第一乐章片段，并让学生带着问题聆听和欣赏。</w:t>
            </w:r>
          </w:p>
          <w:p>
            <w:pPr>
              <w:autoSpaceDE w:val="0"/>
              <w:jc w:val="left"/>
              <w:rPr>
                <w:rFonts w:hint="eastAsia" w:ascii="Times New Roman" w:hAnsi="Times New Roman" w:cs="宋体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autoSpaceDE w:val="0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完成热身练习</w:t>
            </w:r>
          </w:p>
          <w:p>
            <w:pPr>
              <w:autoSpaceDE w:val="0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autoSpaceDE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autoSpaceDE w:val="0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 xml:space="preserve"> 认真聆听，感受，并谈谈自己对曲目的第一印象。</w:t>
            </w:r>
          </w:p>
          <w:p>
            <w:pPr>
              <w:autoSpaceDE w:val="0"/>
              <w:rPr>
                <w:rFonts w:hint="eastAsia" w:ascii="Times New Roman" w:hAnsi="Times New Roman" w:eastAsia="Times New Roman" w:cs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autoSpaceDE w:val="0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让学生快速进入弹奏状态并通过聆听和感受对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作曲家的作品风格特点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有初步印象与整体把握。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讲解</w:t>
            </w:r>
          </w:p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和</w:t>
            </w:r>
          </w:p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示范</w:t>
            </w:r>
          </w:p>
          <w:p>
            <w:pPr>
              <w:autoSpaceDE w:val="0"/>
              <w:spacing w:line="360" w:lineRule="auto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  <w:p>
            <w:pPr>
              <w:autoSpaceDE w:val="0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  <w:p>
            <w:pPr>
              <w:numPr>
                <w:ilvl w:val="0"/>
                <w:numId w:val="2"/>
              </w:numPr>
              <w:autoSpaceDE w:val="0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  <w:t>对作曲家和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  <w:t>进行简单的介绍。</w:t>
            </w:r>
          </w:p>
          <w:p>
            <w:pPr>
              <w:autoSpaceDE w:val="0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教师完整示范弹奏主部主题段落。</w:t>
            </w:r>
          </w:p>
          <w:p>
            <w:pPr>
              <w:autoSpaceDE w:val="0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  <w:t>.从总体上讲解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呈示部主部主题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  <w:t>的曲式结构和所涉及的技术要点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并划分乐句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  <w:t>。</w:t>
            </w:r>
          </w:p>
          <w:p>
            <w:pPr>
              <w:autoSpaceDE w:val="0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  <w:t>1.认真听取老师的讲解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和示范。</w:t>
            </w:r>
          </w:p>
          <w:p>
            <w:pPr>
              <w:autoSpaceDE w:val="0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  <w:t>2.在讲解曲式结构和技术要点时做好必要的笔记和注释。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使学生进一步了解作品和作者，并做好学习乐段中技术要点的准备。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学习</w:t>
            </w:r>
          </w:p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和</w:t>
            </w:r>
          </w:p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实践</w:t>
            </w:r>
          </w:p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（一）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  <w:t>1.指导学生开始逐句学习弹奏。</w:t>
            </w:r>
          </w:p>
          <w:p>
            <w:pPr>
              <w:autoSpaceDE w:val="0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  <w:t>以第一乐句为例，重点讲解快速密集的分解和弦跑动。</w:t>
            </w:r>
          </w:p>
          <w:p>
            <w:pPr>
              <w:autoSpaceDE w:val="0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  <w:t>.指导学生正确弹奏和巩固快速跑动的技术要点。</w:t>
            </w:r>
          </w:p>
          <w:p>
            <w:pPr>
              <w:autoSpaceDE w:val="0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1.在慢速下单手逐句地完成乐段弹奏，熟悉乐谱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，完成双手慢速的乐段弹奏。</w:t>
            </w:r>
          </w:p>
          <w:p>
            <w:pPr>
              <w:autoSpaceDE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.略微提速后，针对讲解的快速密集跑动要点进行有针对性的练习。</w:t>
            </w:r>
          </w:p>
          <w:p>
            <w:pPr>
              <w:autoSpaceDE w:val="0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Times New Roman" w:hAnsi="Times New Roman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让学生整体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第一乐段，通过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师的弹奏更直观的感受作品，并有效掌握所涉及的技术要点。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</w:t>
            </w:r>
          </w:p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</w:t>
            </w:r>
          </w:p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实践</w:t>
            </w:r>
          </w:p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（二）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  <w:t>1.仍以第一乐句为例，强调大柱式和弦弹奏时力量的正确使用。</w:t>
            </w:r>
          </w:p>
          <w:p>
            <w:pPr>
              <w:autoSpaceDE w:val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  <w:t>2.指导学生正确弹奏和巩固大柱式和弦技术要点。</w:t>
            </w:r>
          </w:p>
          <w:p>
            <w:pPr>
              <w:autoSpaceDE w:val="0"/>
              <w:rPr>
                <w:rFonts w:ascii="Times New Roman" w:hAnsi="Times New Roman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  <w:t>3.指导学生以中速完整弹奏第一乐段。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  <w:t>1.略微提速后，针对讲解的大柱式和弦要点进行有针对性的练习。</w:t>
            </w:r>
          </w:p>
          <w:p>
            <w:pPr>
              <w:autoSpaceDE w:val="0"/>
              <w:rPr>
                <w:rFonts w:ascii="Times New Roman" w:hAnsi="Times New Roman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  <w:t>2.攻克重难点后，在教师指导下以中速完整弹奏第一乐段。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Times New Roman" w:hAnsi="Times New Roman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让学生整体把握第一乐段，并有效掌握所涉及的技术要点，最终做到基本完整弹奏乐段。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总结</w:t>
            </w:r>
          </w:p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</w:t>
            </w:r>
          </w:p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课后任务</w:t>
            </w:r>
          </w:p>
        </w:tc>
        <w:tc>
          <w:tcPr>
            <w:tcW w:w="4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  <w:t>1.简单总结本堂课的学习内容，重点强调快速跑动难点和大柱式和弦难点。</w:t>
            </w:r>
          </w:p>
          <w:p>
            <w:pPr>
              <w:autoSpaceDE w:val="0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</w:pPr>
          </w:p>
          <w:p>
            <w:pPr>
              <w:autoSpaceDE w:val="0"/>
              <w:rPr>
                <w:rFonts w:ascii="Times New Roman" w:hAnsi="Times New Roman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  <w:t>2.布置学生课后练习的任务。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Times New Roman" w:hAnsi="Times New Roman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</w:rPr>
              <w:t>加深学生对曲目第一乐段的印象，牢固掌握本堂课的知识和技术要点。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</w:rPr>
            </w:pPr>
          </w:p>
        </w:tc>
      </w:tr>
    </w:tbl>
    <w:p>
      <w:pPr>
        <w:spacing w:line="0" w:lineRule="atLeast"/>
        <w:rPr>
          <w:rFonts w:hint="eastAsia"/>
          <w:b/>
          <w:sz w:val="24"/>
          <w:szCs w:val="24"/>
        </w:rPr>
      </w:pPr>
    </w:p>
    <w:p>
      <w:pPr>
        <w:spacing w:line="0" w:lineRule="atLeast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板书设计：</w:t>
      </w:r>
    </w:p>
    <w:p>
      <w:pPr>
        <w:spacing w:line="0" w:lineRule="atLeast"/>
        <w:rPr>
          <w:rFonts w:hint="eastAsia"/>
          <w:b/>
          <w:sz w:val="24"/>
          <w:szCs w:val="24"/>
          <w:lang w:val="en-US" w:eastAsia="zh-CN"/>
        </w:rPr>
      </w:pPr>
    </w:p>
    <w:p>
      <w:pPr>
        <w:spacing w:line="0" w:lineRule="atLeast"/>
        <w:jc w:val="center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钢琴奏鸣曲《月光》第三乐章</w:t>
      </w:r>
    </w:p>
    <w:p>
      <w:pPr>
        <w:spacing w:line="0" w:lineRule="atLeast"/>
        <w:jc w:val="righ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----贝多芬</w:t>
      </w:r>
    </w:p>
    <w:p>
      <w:pPr>
        <w:numPr>
          <w:ilvl w:val="0"/>
          <w:numId w:val="3"/>
        </w:numPr>
        <w:spacing w:line="0" w:lineRule="atLeast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作曲家及作品简介</w:t>
      </w:r>
    </w:p>
    <w:p>
      <w:pPr>
        <w:numPr>
          <w:ilvl w:val="0"/>
          <w:numId w:val="0"/>
        </w:numPr>
        <w:spacing w:line="0" w:lineRule="atLeast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0" w:lineRule="atLeast"/>
        <w:ind w:firstLine="480" w:firstLineChars="20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关键词：时代变迁，斗士，愤怒，激昂，热情</w:t>
      </w:r>
      <w:r>
        <w:rPr>
          <w:rFonts w:hint="eastAsia"/>
          <w:b w:val="0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spacing w:line="0" w:lineRule="atLeast"/>
        <w:ind w:firstLine="480" w:firstLineChars="20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0" w:lineRule="atLeast"/>
        <w:ind w:left="0" w:leftChars="0" w:firstLine="0" w:firstLine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呈示部主部主题：</w:t>
      </w:r>
    </w:p>
    <w:p>
      <w:pPr>
        <w:numPr>
          <w:ilvl w:val="0"/>
          <w:numId w:val="0"/>
        </w:numPr>
        <w:spacing w:line="0" w:lineRule="atLeast"/>
        <w:ind w:left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0" w:lineRule="atLeast"/>
        <w:ind w:firstLine="480" w:firstLineChars="20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1.主部主题动机</w:t>
      </w:r>
    </w:p>
    <w:p>
      <w:pPr>
        <w:numPr>
          <w:ilvl w:val="0"/>
          <w:numId w:val="0"/>
        </w:numPr>
        <w:spacing w:line="0" w:lineRule="atLeast"/>
        <w:ind w:left="480" w:left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2.6个乐句</w:t>
      </w:r>
    </w:p>
    <w:p>
      <w:pPr>
        <w:numPr>
          <w:ilvl w:val="0"/>
          <w:numId w:val="0"/>
        </w:numPr>
        <w:spacing w:line="0" w:lineRule="atLeast"/>
        <w:ind w:left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0" w:lineRule="atLeast"/>
        <w:ind w:left="0" w:leftChars="0" w:firstLine="0" w:firstLine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弹奏要点</w:t>
      </w:r>
    </w:p>
    <w:p>
      <w:pPr>
        <w:numPr>
          <w:ilvl w:val="0"/>
          <w:numId w:val="0"/>
        </w:numPr>
        <w:spacing w:line="0" w:lineRule="atLeast"/>
        <w:ind w:left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4"/>
        </w:numPr>
        <w:tabs>
          <w:tab w:val="clear" w:pos="312"/>
        </w:tabs>
        <w:spacing w:line="0" w:lineRule="atLeast"/>
        <w:ind w:left="480" w:leftChars="0" w:firstLine="0" w:firstLine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密集跑动的分解和弦</w:t>
      </w:r>
    </w:p>
    <w:p>
      <w:pPr>
        <w:numPr>
          <w:ilvl w:val="0"/>
          <w:numId w:val="4"/>
        </w:numPr>
        <w:tabs>
          <w:tab w:val="clear" w:pos="312"/>
        </w:tabs>
        <w:spacing w:line="0" w:lineRule="atLeast"/>
        <w:ind w:left="480" w:leftChars="0" w:firstLine="0" w:firstLineChars="0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弹奏大柱式和弦时力量的使用</w:t>
      </w:r>
    </w:p>
    <w:p>
      <w:pPr>
        <w:numPr>
          <w:ilvl w:val="0"/>
          <w:numId w:val="0"/>
        </w:numPr>
        <w:spacing w:line="0" w:lineRule="atLeast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四．课堂总结和课后任务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5802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A3DC5D"/>
    <w:multiLevelType w:val="singleLevel"/>
    <w:tmpl w:val="8AA3DC5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1">
    <w:nsid w:val="A38EEBD8"/>
    <w:multiLevelType w:val="singleLevel"/>
    <w:tmpl w:val="A38EEBD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1A51A287"/>
    <w:multiLevelType w:val="singleLevel"/>
    <w:tmpl w:val="1A51A28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3">
    <w:nsid w:val="22F9E60F"/>
    <w:multiLevelType w:val="singleLevel"/>
    <w:tmpl w:val="22F9E6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39"/>
    <w:rsid w:val="000B7939"/>
    <w:rsid w:val="001332EF"/>
    <w:rsid w:val="002872FA"/>
    <w:rsid w:val="0039415D"/>
    <w:rsid w:val="004965AE"/>
    <w:rsid w:val="00512C35"/>
    <w:rsid w:val="00580C2D"/>
    <w:rsid w:val="005E0CE9"/>
    <w:rsid w:val="00906304"/>
    <w:rsid w:val="0095543F"/>
    <w:rsid w:val="00A6193B"/>
    <w:rsid w:val="00CB584D"/>
    <w:rsid w:val="00D06BE2"/>
    <w:rsid w:val="00E758EE"/>
    <w:rsid w:val="00FE2C3A"/>
    <w:rsid w:val="02444BBC"/>
    <w:rsid w:val="07351F44"/>
    <w:rsid w:val="0B11444C"/>
    <w:rsid w:val="0BDD5AED"/>
    <w:rsid w:val="14E329B0"/>
    <w:rsid w:val="183F662A"/>
    <w:rsid w:val="1B222FF3"/>
    <w:rsid w:val="1F7E018A"/>
    <w:rsid w:val="20AD5120"/>
    <w:rsid w:val="2966059A"/>
    <w:rsid w:val="318141D7"/>
    <w:rsid w:val="3C10490D"/>
    <w:rsid w:val="3E2B3454"/>
    <w:rsid w:val="47B01388"/>
    <w:rsid w:val="48A630EA"/>
    <w:rsid w:val="498205EA"/>
    <w:rsid w:val="4F5D0654"/>
    <w:rsid w:val="52E2151E"/>
    <w:rsid w:val="5DC009FC"/>
    <w:rsid w:val="672F021C"/>
    <w:rsid w:val="68ED23ED"/>
    <w:rsid w:val="72662AE1"/>
    <w:rsid w:val="778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214</Words>
  <Characters>1226</Characters>
  <Lines>10</Lines>
  <Paragraphs>2</Paragraphs>
  <TotalTime>28</TotalTime>
  <ScaleCrop>false</ScaleCrop>
  <LinksUpToDate>false</LinksUpToDate>
  <CharactersWithSpaces>1438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2018-10-11T13:44:00Z</dcterms:created>
  <dc:creator>微软用户</dc:creator>
  <cp:lastModifiedBy>大赋格曲</cp:lastModifiedBy>
  <dcterms:modified xsi:type="dcterms:W3CDTF">2020-12-27T14:47:25Z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