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7808" w:type="dxa"/>
        <w:jc w:val="center"/>
        <w:tblCellSpacing w:w="0" w:type="dxa"/>
        <w:tblInd w:w="249" w:type="dxa"/>
        <w:shd w:val="clear"/>
        <w:tblLayout w:type="fixed"/>
        <w:tblCellMar>
          <w:top w:w="0" w:type="dxa"/>
          <w:left w:w="0" w:type="dxa"/>
          <w:bottom w:w="0" w:type="dxa"/>
          <w:right w:w="0" w:type="dxa"/>
        </w:tblCellMar>
      </w:tblPr>
      <w:tblGrid>
        <w:gridCol w:w="7808"/>
      </w:tblGrid>
      <w:tr>
        <w:tblPrEx>
          <w:shd w:val="clear"/>
          <w:tblLayout w:type="fixed"/>
          <w:tblCellMar>
            <w:top w:w="0" w:type="dxa"/>
            <w:left w:w="0" w:type="dxa"/>
            <w:bottom w:w="0" w:type="dxa"/>
            <w:right w:w="0" w:type="dxa"/>
          </w:tblCellMar>
        </w:tblPrEx>
        <w:trPr>
          <w:trHeight w:val="750" w:hRule="atLeast"/>
          <w:tblCellSpacing w:w="0" w:type="dxa"/>
          <w:jc w:val="center"/>
        </w:trPr>
        <w:tc>
          <w:tcPr>
            <w:tcW w:w="7808" w:type="dxa"/>
            <w:shd w:val="clear"/>
            <w:vAlign w:val="center"/>
          </w:tcPr>
          <w:p>
            <w:pPr>
              <w:keepNext w:val="0"/>
              <w:keepLines w:val="0"/>
              <w:widowControl/>
              <w:suppressLineNumbers w:val="0"/>
              <w:jc w:val="center"/>
              <w:rPr>
                <w:rFonts w:ascii="瀹嬩綋" w:hAnsi="瀹嬩綋" w:eastAsia="瀹嬩綋" w:cs="瀹嬩綋"/>
                <w:b/>
                <w:color w:val="C80000"/>
                <w:sz w:val="33"/>
                <w:szCs w:val="33"/>
              </w:rPr>
            </w:pPr>
            <w:r>
              <w:rPr>
                <w:rFonts w:hint="default" w:ascii="瀹嬩綋" w:hAnsi="瀹嬩綋" w:eastAsia="瀹嬩綋" w:cs="瀹嬩綋"/>
                <w:b/>
                <w:color w:val="C80000"/>
                <w:kern w:val="0"/>
                <w:sz w:val="33"/>
                <w:szCs w:val="33"/>
                <w:lang w:val="en-US" w:eastAsia="zh-CN" w:bidi="ar"/>
              </w:rPr>
              <w:t xml:space="preserve">乐至县举行“不忘初乐至县良安责任区：2019年成都市双流区名师团队送教下乡 </w:t>
            </w:r>
          </w:p>
        </w:tc>
      </w:tr>
      <w:tr>
        <w:tblPrEx>
          <w:shd w:val="clear"/>
          <w:tblLayout w:type="fixed"/>
          <w:tblCellMar>
            <w:top w:w="0" w:type="dxa"/>
            <w:left w:w="0" w:type="dxa"/>
            <w:bottom w:w="0" w:type="dxa"/>
            <w:right w:w="0" w:type="dxa"/>
          </w:tblCellMar>
        </w:tblPrEx>
        <w:trPr>
          <w:trHeight w:val="450" w:hRule="atLeast"/>
          <w:tblCellSpacing w:w="0" w:type="dxa"/>
          <w:jc w:val="center"/>
        </w:trPr>
        <w:tc>
          <w:tcPr>
            <w:tcW w:w="7808" w:type="dxa"/>
            <w:shd w:val="clear"/>
            <w:vAlign w:val="center"/>
          </w:tcPr>
          <w:tbl>
            <w:tblPr>
              <w:tblW w:w="7808" w:type="dxa"/>
              <w:jc w:val="center"/>
              <w:tblCellSpacing w:w="0" w:type="dxa"/>
              <w:tblInd w:w="0" w:type="dxa"/>
              <w:shd w:val="clear"/>
              <w:tblLayout w:type="fixed"/>
              <w:tblCellMar>
                <w:top w:w="0" w:type="dxa"/>
                <w:left w:w="0" w:type="dxa"/>
                <w:bottom w:w="0" w:type="dxa"/>
                <w:right w:w="0" w:type="dxa"/>
              </w:tblCellMar>
            </w:tblPr>
            <w:tblGrid>
              <w:gridCol w:w="7808"/>
            </w:tblGrid>
            <w:tr>
              <w:tblPrEx>
                <w:shd w:val="clear"/>
                <w:tblLayout w:type="fixed"/>
                <w:tblCellMar>
                  <w:top w:w="0" w:type="dxa"/>
                  <w:left w:w="0" w:type="dxa"/>
                  <w:bottom w:w="0" w:type="dxa"/>
                  <w:right w:w="0" w:type="dxa"/>
                </w:tblCellMar>
              </w:tblPrEx>
              <w:trPr>
                <w:trHeight w:val="16" w:hRule="atLeast"/>
                <w:tblCellSpacing w:w="0" w:type="dxa"/>
                <w:jc w:val="center"/>
              </w:trPr>
              <w:tc>
                <w:tcPr>
                  <w:tcW w:w="7808" w:type="dxa"/>
                  <w:shd w:val="clear"/>
                  <w:vAlign w:val="center"/>
                </w:tcPr>
                <w:p>
                  <w:pPr>
                    <w:rPr>
                      <w:rFonts w:hint="default" w:ascii="瀹嬩綋" w:hAnsi="瀹嬩綋" w:eastAsia="瀹嬩綋" w:cs="瀹嬩綋"/>
                      <w:color w:val="4E4342"/>
                      <w:sz w:val="18"/>
                      <w:szCs w:val="18"/>
                    </w:rPr>
                  </w:pPr>
                </w:p>
              </w:tc>
            </w:tr>
          </w:tbl>
          <w:p>
            <w:pPr>
              <w:jc w:val="center"/>
              <w:rPr>
                <w:rFonts w:hint="default" w:ascii="瀹嬩綋" w:hAnsi="瀹嬩綋" w:eastAsia="瀹嬩綋" w:cs="瀹嬩綋"/>
                <w:color w:val="4E4342"/>
                <w:sz w:val="18"/>
                <w:szCs w:val="18"/>
              </w:rPr>
            </w:pPr>
          </w:p>
        </w:tc>
      </w:tr>
      <w:tr>
        <w:tblPrEx>
          <w:shd w:val="clear"/>
          <w:tblLayout w:type="fixed"/>
          <w:tblCellMar>
            <w:top w:w="0" w:type="dxa"/>
            <w:left w:w="0" w:type="dxa"/>
            <w:bottom w:w="0" w:type="dxa"/>
            <w:right w:w="0" w:type="dxa"/>
          </w:tblCellMar>
        </w:tblPrEx>
        <w:trPr>
          <w:tblCellSpacing w:w="0" w:type="dxa"/>
          <w:jc w:val="center"/>
        </w:trPr>
        <w:tc>
          <w:tcPr>
            <w:tcW w:w="7808" w:type="dxa"/>
            <w:shd w:val="clear"/>
            <w:vAlign w:val="center"/>
          </w:tcPr>
          <w:p>
            <w:pPr>
              <w:keepNext w:val="0"/>
              <w:keepLines w:val="0"/>
              <w:widowControl/>
              <w:suppressLineNumbers w:val="0"/>
              <w:spacing w:line="360" w:lineRule="atLeast"/>
              <w:jc w:val="left"/>
              <w:rPr>
                <w:rFonts w:hint="default" w:ascii="瀹嬩綋" w:hAnsi="瀹嬩綋" w:eastAsia="瀹嬩綋" w:cs="瀹嬩綋"/>
                <w:color w:val="4E4342"/>
                <w:sz w:val="21"/>
                <w:szCs w:val="21"/>
              </w:rPr>
            </w:pPr>
            <w:r>
              <w:rPr>
                <w:rFonts w:hint="default" w:ascii="瀹嬩綋" w:hAnsi="瀹嬩綋" w:eastAsia="瀹嬩綋" w:cs="瀹嬩綋"/>
                <w:color w:val="4E4342"/>
                <w:kern w:val="0"/>
                <w:sz w:val="21"/>
                <w:szCs w:val="21"/>
                <w:lang w:val="en-US" w:eastAsia="zh-CN" w:bidi="ar"/>
              </w:rPr>
              <w:t>　　5月，双流区棠湖小学罗莉名师团队在棠湖小学副校长杨东宇、主任温文勤的带领下，来到了乐至县良安学区良安小学开展送教下乡活动。</w:t>
            </w:r>
            <w:r>
              <w:rPr>
                <w:rFonts w:hint="default" w:ascii="瀹嬩綋" w:hAnsi="瀹嬩綋" w:eastAsia="瀹嬩綋" w:cs="瀹嬩綋"/>
                <w:color w:val="4E4342"/>
                <w:kern w:val="0"/>
                <w:sz w:val="21"/>
                <w:szCs w:val="21"/>
                <w:lang w:val="en-US" w:eastAsia="zh-CN" w:bidi="ar"/>
              </w:rPr>
              <w:br w:type="textWrapping"/>
            </w:r>
            <w:r>
              <w:rPr>
                <w:rFonts w:hint="default" w:ascii="瀹嬩綋" w:hAnsi="瀹嬩綋" w:eastAsia="瀹嬩綋" w:cs="瀹嬩綋"/>
                <w:color w:val="4E4342"/>
                <w:kern w:val="0"/>
                <w:sz w:val="21"/>
                <w:szCs w:val="21"/>
                <w:lang w:val="en-US" w:eastAsia="zh-CN" w:bidi="ar"/>
              </w:rPr>
              <w:t>       本次活动得到了乐至县教体局的高度重视，乐至县教体局人事股主任雷宏光，</w:t>
            </w:r>
            <w:bookmarkStart w:id="0" w:name="_GoBack"/>
            <w:bookmarkEnd w:id="0"/>
            <w:r>
              <w:rPr>
                <w:rFonts w:hint="default" w:ascii="瀹嬩綋" w:hAnsi="瀹嬩綋" w:eastAsia="瀹嬩綋" w:cs="瀹嬩綋"/>
                <w:color w:val="4E4342"/>
                <w:kern w:val="0"/>
                <w:sz w:val="21"/>
                <w:szCs w:val="21"/>
                <w:lang w:val="en-US" w:eastAsia="zh-CN" w:bidi="ar"/>
              </w:rPr>
              <w:t>乐至县教师进修学校副校长陈年忠，乐至县城西小学副校长，名师工作室导师唐树君，良安学区领导，乐至机车希望小学、放生小学及良安学区部分语文教师共30余人参加。</w:t>
            </w:r>
            <w:r>
              <w:rPr>
                <w:rFonts w:hint="default" w:ascii="瀹嬩綋" w:hAnsi="瀹嬩綋" w:eastAsia="瀹嬩綋" w:cs="瀹嬩綋"/>
                <w:color w:val="4E4342"/>
                <w:kern w:val="0"/>
                <w:sz w:val="21"/>
                <w:szCs w:val="21"/>
                <w:lang w:val="en-US" w:eastAsia="zh-CN" w:bidi="ar"/>
              </w:rPr>
              <w:br w:type="textWrapping"/>
            </w:r>
            <w:r>
              <w:rPr>
                <w:rFonts w:hint="default" w:ascii="瀹嬩綋" w:hAnsi="瀹嬩綋" w:eastAsia="瀹嬩綋" w:cs="瀹嬩綋"/>
                <w:color w:val="4E4342"/>
                <w:kern w:val="0"/>
                <w:sz w:val="21"/>
                <w:szCs w:val="21"/>
                <w:lang w:val="en-US" w:eastAsia="zh-CN" w:bidi="ar"/>
              </w:rPr>
              <w:t>       示范课展示，精彩纷呈。莲花小学王小红在6年级1班上了习作课《我能写……》，孩子们在老师的启发下，通过说、写、练、展等多元化的手段呈现了一堂朴实的习作课。双流区学科带头人帅小玲为4年级4班的孩子们呈现了习作课《一件印象深刻的事》。前导课，通过“猜姓”激趣、任务驱动、思维导图、示范引领、语言激励带着孩子从紧张到放松，从选材单一到突破思维使孩子们的写作思路逐步清晰；后导课，利用自评表和互评表指导学生自评、互评和修改作文，孩子们的习作在自主、合作、探究等多元方式中得到提升，在示范中明确习作方向。棠湖小学优秀青年教师苏溶展示了习作课《猜猜我是谁》，苏老师结合学生的年龄特点，通过游戏串起来整堂习作课。前导课，片段猜动画人物、生述生猜同学、师述生猜同学和听音辨人；后导课，生写片段生猜同学，孩子们一直在乐中学，学中乐，在老师的不断追问中明确了习作的方法。双流区学科带头人、双流区棠湖小学杨希老师的阅读课《提高阅读速度》。通过让孩子们畅谈1分钟可以做什么、观看视频1分钟对于一群人和一个国家的作用，让孩子们意识到速度的重要性。要提高速度，就要掌握方法，孩子们学会了面式阅读法中的遮盖法和手指法，并发现了两种方法的共同点“两要四不”，通过学习总结方法，又将方法运用于技能的提升，通过“学习、总结、实践”强化了孩子们掌握提高阅读速度的方法技能。</w:t>
            </w:r>
            <w:r>
              <w:rPr>
                <w:rFonts w:hint="default" w:ascii="瀹嬩綋" w:hAnsi="瀹嬩綋" w:eastAsia="瀹嬩綋" w:cs="瀹嬩綋"/>
                <w:color w:val="4E4342"/>
                <w:kern w:val="0"/>
                <w:sz w:val="21"/>
                <w:szCs w:val="21"/>
                <w:lang w:val="en-US" w:eastAsia="zh-CN" w:bidi="ar"/>
              </w:rPr>
              <w:br w:type="textWrapping"/>
            </w:r>
            <w:r>
              <w:rPr>
                <w:rFonts w:hint="default" w:ascii="瀹嬩綋" w:hAnsi="瀹嬩綋" w:eastAsia="瀹嬩綋" w:cs="瀹嬩綋"/>
                <w:color w:val="4E4342"/>
                <w:kern w:val="0"/>
                <w:sz w:val="21"/>
                <w:szCs w:val="21"/>
                <w:lang w:val="en-US" w:eastAsia="zh-CN" w:bidi="ar"/>
              </w:rPr>
              <w:t>       评课活动，互动解疑。莲花小学吴红春副校长的主持，执教教师说课，听课教师评课、提出疑惑，罗莉名师团队的老师结合上课教师及听课教师的教学困惑给予了可行性的解答，不时获得老师们的阵阵掌声。</w:t>
            </w:r>
            <w:r>
              <w:rPr>
                <w:rFonts w:hint="default" w:ascii="瀹嬩綋" w:hAnsi="瀹嬩綋" w:eastAsia="瀹嬩綋" w:cs="瀹嬩綋"/>
                <w:color w:val="4E4342"/>
                <w:kern w:val="0"/>
                <w:sz w:val="21"/>
                <w:szCs w:val="21"/>
                <w:lang w:val="en-US" w:eastAsia="zh-CN" w:bidi="ar"/>
              </w:rPr>
              <w:br w:type="textWrapping"/>
            </w:r>
            <w:r>
              <w:rPr>
                <w:rFonts w:hint="default" w:ascii="瀹嬩綋" w:hAnsi="瀹嬩綋" w:eastAsia="瀹嬩綋" w:cs="瀹嬩綋"/>
                <w:color w:val="4E4342"/>
                <w:kern w:val="0"/>
                <w:sz w:val="21"/>
                <w:szCs w:val="21"/>
                <w:lang w:val="en-US" w:eastAsia="zh-CN" w:bidi="ar"/>
              </w:rPr>
              <w:t>       专题讲座，导航教学。成都市学科带头人、优秀班主任、双流区名师工作室导师罗莉老师作了专题讲座《统编教材下低中段习作衔接实践研究》。结合《小学语文新课程标准》，分析了教师的课堂教学方向，从问题提出、研究思路、解决方法三方面入手，通过抓关键原因“教材训练不足、教师方法不够、学生积累不多”，找准解决措施“四勤”——勤阅读、勤说话、勤练笔和勤评价，来确保低中段习作顺利衔接，并将自己在教学实践中的经验分享给全体教师，让习作指导策略更清晰。成都市双流区科研学科带头人、棠湖小学课教处主任温文勤作了专题讲座《教师如何评课》。讲座结合上午四堂课，深入浅出的引导老师从为什么教，教什么（学什么），怎么教（怎么学），教得怎么样（学得怎么样）等七个核心要素进行评课议课，一扫教师们评课无从下手的难题，让评课为教学导航，让课堂研究贴地而行。</w:t>
            </w:r>
            <w:r>
              <w:rPr>
                <w:rFonts w:hint="default" w:ascii="瀹嬩綋" w:hAnsi="瀹嬩綋" w:eastAsia="瀹嬩綋" w:cs="瀹嬩綋"/>
                <w:color w:val="4E4342"/>
                <w:kern w:val="0"/>
                <w:sz w:val="21"/>
                <w:szCs w:val="21"/>
                <w:lang w:val="en-US" w:eastAsia="zh-CN" w:bidi="ar"/>
              </w:rPr>
              <w:br w:type="textWrapping"/>
            </w:r>
            <w:r>
              <w:rPr>
                <w:rFonts w:hint="default" w:ascii="瀹嬩綋" w:hAnsi="瀹嬩綋" w:eastAsia="瀹嬩綋" w:cs="瀹嬩綋"/>
                <w:color w:val="4E4342"/>
                <w:kern w:val="0"/>
                <w:sz w:val="21"/>
                <w:szCs w:val="21"/>
                <w:lang w:val="en-US" w:eastAsia="zh-CN" w:bidi="ar"/>
              </w:rPr>
              <w:t>        名师送教，引领成长。双流区棠湖小学副校长、双流区学科带头人、双流区十佳教育科研工作者、成都市骨干教师、成都市优秀农村支教校长杨东宇和乐至县教体局人事股主任雷宏光为名师送教活动画上了一个圆满的句号。杨校长再次提到“教、学、评”三者的重要性，并感谢良安学区为双流名师提供了一个学习的平台。雷主任对双流区名师团队良苦用心的设计策略表示衷心的感谢，同时相信乐至教育在双流教育的引领下一定会进步多多！</w:t>
            </w:r>
            <w:r>
              <w:rPr>
                <w:rFonts w:hint="default" w:ascii="瀹嬩綋" w:hAnsi="瀹嬩綋" w:eastAsia="瀹嬩綋" w:cs="瀹嬩綋"/>
                <w:color w:val="4E4342"/>
                <w:kern w:val="0"/>
                <w:sz w:val="21"/>
                <w:szCs w:val="21"/>
                <w:lang w:val="en-US" w:eastAsia="zh-CN" w:bidi="ar"/>
              </w:rPr>
              <w:br w:type="textWrapping"/>
            </w:r>
            <w:r>
              <w:rPr>
                <w:rFonts w:hint="default" w:ascii="瀹嬩綋" w:hAnsi="瀹嬩綋" w:eastAsia="瀹嬩綋" w:cs="瀹嬩綋"/>
                <w:color w:val="4E4342"/>
                <w:kern w:val="0"/>
                <w:sz w:val="21"/>
                <w:szCs w:val="21"/>
                <w:lang w:val="en-US" w:eastAsia="zh-CN" w:bidi="ar"/>
              </w:rPr>
              <w:t>       名师引领，收益颇丰。本次活动，教师们通过观课、评课议课、零距离的互动、听专题讲座等活动模式，既拓宽了教师的教学思维，又从名师的课堂中认识到自己的不足。教师们表示要“活到老，学到老”，在学习中认识不足，在不足中改进提高。“我相信，在名师的引领下，结合自己的勤学苦练，一定会让自己的专业成长走向诗和远方。”来自莲花小学的青年教师吴红春如是说。</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瀹嬩綋">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665259"/>
    <w:rsid w:val="148D21E1"/>
    <w:rsid w:val="6066525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styleId="4">
    <w:name w:val="FollowedHyperlink"/>
    <w:basedOn w:val="3"/>
    <w:uiPriority w:val="0"/>
    <w:rPr>
      <w:color w:val="4E4342"/>
      <w:u w:val="none"/>
    </w:rPr>
  </w:style>
  <w:style w:type="character" w:styleId="5">
    <w:name w:val="Hyperlink"/>
    <w:basedOn w:val="3"/>
    <w:uiPriority w:val="0"/>
    <w:rPr>
      <w:color w:val="4E434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2019-06-30T12:37:00Z</dcterms:created>
  <dc:creator>文枫</dc:creator>
  <cp:lastModifiedBy>文枫</cp:lastModifiedBy>
  <dcterms:modified xsi:type="dcterms:W3CDTF">2019-06-30T12:38:20Z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