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3" w:firstLineChars="300"/>
        <w:rPr>
          <w:rFonts w:hint="eastAsia"/>
          <w:b/>
          <w:bCs/>
          <w:sz w:val="28"/>
          <w:szCs w:val="28"/>
          <w:lang w:eastAsia="zh-CN"/>
        </w:rPr>
      </w:pPr>
      <w:r>
        <w:rPr>
          <w:rFonts w:hint="eastAsia"/>
          <w:b/>
          <w:bCs/>
          <w:sz w:val="28"/>
          <w:szCs w:val="28"/>
          <w:lang w:eastAsia="zh-CN"/>
        </w:rPr>
        <w:t>研制《课程纲要》打开国家课程校本化实施的一扇窗</w:t>
      </w:r>
    </w:p>
    <w:p>
      <w:pPr>
        <w:ind w:firstLine="843" w:firstLineChars="300"/>
        <w:rPr>
          <w:rFonts w:hint="eastAsia" w:eastAsiaTheme="minorEastAsia"/>
          <w:b/>
          <w:bCs/>
          <w:sz w:val="24"/>
          <w:szCs w:val="24"/>
          <w:lang w:val="en-US" w:eastAsia="zh-CN"/>
        </w:rPr>
      </w:pPr>
      <w:r>
        <w:rPr>
          <w:rFonts w:hint="eastAsia"/>
          <w:b/>
          <w:bCs/>
          <w:sz w:val="28"/>
          <w:szCs w:val="28"/>
          <w:lang w:val="en-US" w:eastAsia="zh-CN"/>
        </w:rPr>
        <w:t xml:space="preserve">             </w:t>
      </w:r>
      <w:r>
        <w:rPr>
          <w:rFonts w:hint="eastAsia"/>
          <w:b/>
          <w:bCs/>
          <w:sz w:val="24"/>
          <w:szCs w:val="24"/>
          <w:lang w:val="en-US" w:eastAsia="zh-CN"/>
        </w:rPr>
        <w:t xml:space="preserve"> —2019双流区学校课程领导力提升高级研修班培训</w:t>
      </w:r>
    </w:p>
    <w:p>
      <w:pPr>
        <w:ind w:firstLine="843" w:firstLineChars="300"/>
        <w:rPr>
          <w:rFonts w:hint="eastAsia"/>
          <w:b w:val="0"/>
          <w:bCs w:val="0"/>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 xml:space="preserve"> 成都市双流区棠湖小学：温文勤</w:t>
      </w:r>
    </w:p>
    <w:p>
      <w:pPr>
        <w:ind w:firstLine="560" w:firstLineChars="200"/>
        <w:rPr>
          <w:rFonts w:hint="eastAsia"/>
          <w:sz w:val="28"/>
          <w:szCs w:val="28"/>
          <w:lang w:val="en-US" w:eastAsia="zh-CN"/>
        </w:rPr>
      </w:pPr>
      <w:r>
        <w:rPr>
          <w:rFonts w:hint="eastAsia"/>
          <w:sz w:val="28"/>
          <w:szCs w:val="28"/>
          <w:lang w:val="en-US" w:eastAsia="zh-CN"/>
        </w:rPr>
        <w:t>2019年1月15日，我带着重感冒与双流区30多位教学管理者和20多位教研员走进了华东师范大学，开启了一周的封闭式培训。虽然只有短短的一周，但这是我有生以来第一次读大学，而且读的是中国顶尖级的师范大学华东师大。这里有全国最核心的课程与教学研究中心，这里有全国最权威的课程研究专家，这里把握着课程改革的风向标，所以我带着重感冒也不得不打起精神投入学习。既然是课改前沿的学习，我想有必要与大家分享一下。今天我汇报的主题是《</w:t>
      </w:r>
      <w:r>
        <w:rPr>
          <w:rFonts w:hint="eastAsia"/>
          <w:sz w:val="28"/>
          <w:szCs w:val="28"/>
          <w:lang w:eastAsia="zh-CN"/>
        </w:rPr>
        <w:t>研制课程纲要</w:t>
      </w:r>
      <w:r>
        <w:rPr>
          <w:rFonts w:hint="eastAsia"/>
          <w:sz w:val="28"/>
          <w:szCs w:val="28"/>
          <w:lang w:val="en-US" w:eastAsia="zh-CN"/>
        </w:rPr>
        <w:t xml:space="preserve">  </w:t>
      </w:r>
      <w:r>
        <w:rPr>
          <w:rFonts w:hint="eastAsia"/>
          <w:sz w:val="28"/>
          <w:szCs w:val="28"/>
          <w:lang w:eastAsia="zh-CN"/>
        </w:rPr>
        <w:t>打开国家课程校本化实施的一扇窗</w:t>
      </w:r>
      <w:r>
        <w:rPr>
          <w:rFonts w:hint="eastAsia"/>
          <w:sz w:val="28"/>
          <w:szCs w:val="28"/>
          <w:lang w:val="en-US" w:eastAsia="zh-CN"/>
        </w:rPr>
        <w:t>》。双流区研培中心这次花费几十万培训费来组织这次培训，应该是试图寻找区域推进基础教育课程改革的有效抓手，这次培训让我们眼睛一亮的就是上海华东师大专家团队带领上海静安区一线教师研制的学期课程纲要。我们知道，教师是专业人员，然而，教师的专业性体现在哪里？除了精熟的教学技艺，更重要的是设计与评价两个领域。一个完整的专业活动需要经历设计实施与评价的过程。就国家课程而言，有了课程标准之后，教师的专业活动方案是怎样的？以前写的《教学进度表》与教案是不是专业的？国家课程如何校本化？教师如何开展基于课程标准的教学？有哪些具体的路径？要解决这些问题，还是得研究课程标准、研究教材、研究学生。课程标准是国家课程的纲领性文件，是国家对基础教育课程的基本规范和质量要求，集中反映了国家对学生学习结果的基本要求。课程标准是教材编制、考试评价的依据，也是教师制定教学目标，设计和展开教学，评价教学效果的基本依据。课程标准本身表述较为抽象概括，无法直接拿来用于教学，所以从学校教师的教学设计和实施看，在不少教师的眼里，课程标准仍被视为抽象的文件，既承认它的权威性，用起来又食之无味，往往被束之高阁。教师仅凭经验展开教学，随意拔高，学生负担重，教学效益低，严重影响教学质量。基于课程标准的课程纲要就是把课程标准、教材、课程实施、课程评价承接起来的重要载体，这一载体将课程标准的“文本标准”转化为实际的教学活动。有了这一载体就有了具体的抓手，就能突破了上述一系列的瓶颈问题。</w:t>
      </w:r>
    </w:p>
    <w:p>
      <w:pPr>
        <w:ind w:firstLine="560" w:firstLineChars="200"/>
        <w:rPr>
          <w:rFonts w:hint="eastAsia"/>
          <w:sz w:val="28"/>
          <w:szCs w:val="28"/>
          <w:lang w:val="en-US" w:eastAsia="zh-CN"/>
        </w:rPr>
      </w:pPr>
      <w:r>
        <w:rPr>
          <w:rFonts w:hint="eastAsia"/>
          <w:sz w:val="28"/>
          <w:szCs w:val="28"/>
          <w:lang w:val="en-US" w:eastAsia="zh-CN"/>
        </w:rPr>
        <w:t>所以，我们必须明白三个核心问题：什么是课程纲要？课程纲要有何作用和价值？如何编制课程纲要？</w:t>
      </w:r>
    </w:p>
    <w:p>
      <w:pPr>
        <w:ind w:firstLine="560" w:firstLineChars="200"/>
        <w:rPr>
          <w:rFonts w:hint="eastAsia"/>
          <w:sz w:val="28"/>
          <w:szCs w:val="28"/>
          <w:lang w:val="en-US" w:eastAsia="zh-CN"/>
        </w:rPr>
      </w:pPr>
      <w:r>
        <w:rPr>
          <w:rFonts w:hint="eastAsia"/>
          <w:sz w:val="28"/>
          <w:szCs w:val="28"/>
          <w:lang w:val="en-US" w:eastAsia="zh-CN"/>
        </w:rPr>
        <w:t xml:space="preserve">《课程纲要》是以提纲的形式一致性地呈现一门课程的目标、内容、实施和评价这四个基本要素。这四个要素要回答的问题分别是:我要把学生带到哪里去？基本的素材或活动是什么？我怎样带他们去？怎么知道他们已经到哪里？从这些问题所要回答的内容来看，我们就会清楚为什么《教学进度表》不是《课程纲要》，两者之间的区别在哪里。首先，《教学进度表》只见教师，不见学生。《教学进度表》主要回答教师在这学期将要做什么，而《课程纲要》第一个要回答的问题就是学生在这个学期将要“学会什么”，紧接着回答需要提供什么样的内容、组织什么样的活动帮助学生更好地学会，以及什么样的评价任务能检测学生的学习进程及结果。可见，《课程纲要》始终围绕着学生的学习，这也回应了课程因学生而生的理念。其次，《教学进度表》只见进度，不见教学。它呈现的是教师将在什么时候教完教材上的什么内容，只是一个进度的安排，而没有教与学的活动设计。《课程纲要》不仅要呈现课时安排更要回答为达成本学期的目标，关键的教与学的活动及其方式是什么。再次，《教学进度表》只见课文，不见课程。在进度表中，老师们一般只是把一个学期的时间按照教材目录内容来进行分配，我们看到的只是一篇篇课文的题目，而《课程纲要》要全面而一致地回答为什么教、教什么、怎么教和教到什么程度。     </w:t>
      </w:r>
    </w:p>
    <w:p>
      <w:pPr>
        <w:ind w:firstLine="560" w:firstLineChars="200"/>
        <w:rPr>
          <w:rFonts w:hint="eastAsia"/>
          <w:sz w:val="28"/>
          <w:szCs w:val="28"/>
          <w:lang w:val="en-US" w:eastAsia="zh-CN"/>
        </w:rPr>
      </w:pPr>
      <w:r>
        <w:rPr>
          <w:rFonts w:hint="eastAsia"/>
          <w:sz w:val="28"/>
          <w:szCs w:val="28"/>
          <w:lang w:val="en-US" w:eastAsia="zh-CN"/>
        </w:rPr>
        <w:t xml:space="preserve"> 在《教学进度表》与《课程纲要》的比较中，我们更加清楚地了解了《课程纲要》。《课程纲要》的构成要素及其关系，也决定了撰写《课程纲要》的意义。首先，它</w:t>
      </w:r>
      <w:r>
        <w:rPr>
          <w:rFonts w:hint="eastAsia"/>
          <w:b/>
          <w:bCs/>
          <w:sz w:val="28"/>
          <w:szCs w:val="28"/>
          <w:lang w:val="en-US" w:eastAsia="zh-CN"/>
        </w:rPr>
        <w:t>有利于教师形成课程意识</w:t>
      </w:r>
      <w:r>
        <w:rPr>
          <w:rFonts w:hint="eastAsia"/>
          <w:sz w:val="28"/>
          <w:szCs w:val="28"/>
          <w:lang w:val="en-US" w:eastAsia="zh-CN"/>
        </w:rPr>
        <w:t>，思考从“一节课”走向“ 一门课程”。实践中，教师常会犯这样的错误：非常清楚每个章节的知识点，但往往忽略了各章节之间的逻辑关系及其与课程目标的关系，从而失去了对任教学科的总体把握。这种“只见树木，不见森林”的现象易使教师忽略学科的本质特征和目的所在。 《课程纲要》就像一份</w:t>
      </w:r>
      <w:r>
        <w:rPr>
          <w:rFonts w:hint="eastAsia"/>
          <w:b/>
          <w:bCs/>
          <w:sz w:val="28"/>
          <w:szCs w:val="28"/>
          <w:lang w:val="en-US" w:eastAsia="zh-CN"/>
        </w:rPr>
        <w:t>认知地图</w:t>
      </w:r>
      <w:r>
        <w:rPr>
          <w:rFonts w:hint="eastAsia"/>
          <w:sz w:val="28"/>
          <w:szCs w:val="28"/>
          <w:lang w:val="en-US" w:eastAsia="zh-CN"/>
        </w:rPr>
        <w:t>，它要求教师厘清本学期课程在学科课程中的地位与价值的基础上，不仅呈现本学期需要学生应知与能会的目标，同时也呈现各知识之间的结构以及与课程目标的逻辑关系，因此有利于整体地把握课程。其次，它有利于教师审视满足某门课程实施的所有条件。《课程纲要》是</w:t>
      </w:r>
      <w:r>
        <w:rPr>
          <w:rFonts w:hint="eastAsia"/>
          <w:b/>
          <w:bCs/>
          <w:sz w:val="28"/>
          <w:szCs w:val="28"/>
          <w:lang w:val="en-US" w:eastAsia="zh-CN"/>
        </w:rPr>
        <w:t>一种计划</w:t>
      </w:r>
      <w:r>
        <w:rPr>
          <w:rFonts w:hint="eastAsia"/>
          <w:sz w:val="28"/>
          <w:szCs w:val="28"/>
          <w:lang w:val="en-US" w:eastAsia="zh-CN"/>
        </w:rPr>
        <w:t>，也是对教学实施的预期，要充分地考虑各种实施条件，如学生的已有经验、教学设备与其他资源、符合课程内容与认知规律的教与学的方式等等。教师在撰写纲要的过程中，对这些要素的审视，有利于教师正视教学条件的现状。再次，它有利于学生明确某门课程的全貌或相关政策。《课程纲要》不仅是教师的教学设计方案，同样也是指导学生学习的蓝本，因此，在教学前，就应与学生分享。最后，它有利于学校开展课程纲要的审议与质量管理。《课程纲要》既是一份</w:t>
      </w:r>
      <w:r>
        <w:rPr>
          <w:rFonts w:hint="eastAsia"/>
          <w:b/>
          <w:bCs/>
          <w:sz w:val="28"/>
          <w:szCs w:val="28"/>
          <w:lang w:val="en-US" w:eastAsia="zh-CN"/>
        </w:rPr>
        <w:t>课程合同</w:t>
      </w:r>
      <w:r>
        <w:rPr>
          <w:rFonts w:hint="eastAsia"/>
          <w:sz w:val="28"/>
          <w:szCs w:val="28"/>
          <w:lang w:val="en-US" w:eastAsia="zh-CN"/>
        </w:rPr>
        <w:t>，也是一种</w:t>
      </w:r>
      <w:r>
        <w:rPr>
          <w:rFonts w:hint="eastAsia"/>
          <w:b/>
          <w:bCs/>
          <w:sz w:val="28"/>
          <w:szCs w:val="28"/>
          <w:lang w:val="en-US" w:eastAsia="zh-CN"/>
        </w:rPr>
        <w:t>交流工具</w:t>
      </w:r>
      <w:r>
        <w:rPr>
          <w:rFonts w:hint="eastAsia"/>
          <w:sz w:val="28"/>
          <w:szCs w:val="28"/>
          <w:lang w:val="en-US" w:eastAsia="zh-CN"/>
        </w:rPr>
        <w:t>，它是教师和学生之间的合同，也是教师和学校之间的合同，它是教师和学生之间的交流工具，也是教师与教师之间的交流工具。通过这份课程合同，学校、教师和学生都清楚自己需要做什么。通过这种交流工具，教研组可以共享纲要并促进其质量的提升；学校课程组织可以对其质量进行审议；学生可以了解课程要求及其安排，规划自己的学习，更加明确自己将要往哪里去，将会怎么去，以及如何监控自己的学习。</w:t>
      </w:r>
    </w:p>
    <w:p>
      <w:pPr>
        <w:ind w:firstLine="560" w:firstLineChars="200"/>
        <w:rPr>
          <w:rFonts w:hint="eastAsia"/>
          <w:sz w:val="28"/>
          <w:szCs w:val="28"/>
          <w:lang w:val="en-US" w:eastAsia="zh-CN"/>
        </w:rPr>
      </w:pPr>
      <w:r>
        <w:rPr>
          <w:rFonts w:hint="eastAsia"/>
          <w:sz w:val="28"/>
          <w:szCs w:val="28"/>
          <w:lang w:val="en-US" w:eastAsia="zh-CN"/>
        </w:rPr>
        <w:t>如何编制《学期课程纲要》？以一年级语文下册课程纲要为例进行说明。</w:t>
      </w:r>
    </w:p>
    <w:p>
      <w:pPr>
        <w:pStyle w:val="2"/>
        <w:spacing w:before="0" w:after="0" w:line="240" w:lineRule="auto"/>
        <w:jc w:val="center"/>
        <w:rPr>
          <w:rFonts w:ascii="宋体" w:hAnsi="宋体" w:eastAsia="宋体"/>
          <w:sz w:val="28"/>
          <w:szCs w:val="28"/>
        </w:rPr>
      </w:pPr>
      <w:r>
        <w:rPr>
          <w:rFonts w:hint="eastAsia"/>
          <w:sz w:val="28"/>
          <w:szCs w:val="28"/>
          <w:lang w:val="en-US" w:eastAsia="zh-CN"/>
        </w:rPr>
        <w:t xml:space="preserve"> </w:t>
      </w:r>
      <w:r>
        <w:rPr>
          <w:rFonts w:hint="eastAsia" w:ascii="宋体" w:hAnsi="宋体" w:eastAsia="宋体"/>
          <w:sz w:val="28"/>
          <w:szCs w:val="28"/>
        </w:rPr>
        <w:t>语文（一年级下册）课程纲要</w:t>
      </w:r>
    </w:p>
    <w:p>
      <w:pPr>
        <w:widowControl/>
        <w:adjustRightInd w:val="0"/>
        <w:snapToGrid w:val="0"/>
        <w:jc w:val="left"/>
        <w:rPr>
          <w:rFonts w:ascii="宋体" w:hAnsi="宋体" w:eastAsia="宋体" w:cs="宋体"/>
          <w:kern w:val="0"/>
          <w:sz w:val="28"/>
          <w:szCs w:val="28"/>
        </w:rPr>
      </w:pPr>
      <w:r>
        <w:rPr>
          <w:rFonts w:hint="eastAsia" w:ascii="宋体" w:hAnsi="宋体" w:eastAsia="宋体" w:cs="宋体"/>
          <w:b/>
          <w:kern w:val="0"/>
          <w:sz w:val="28"/>
          <w:szCs w:val="28"/>
        </w:rPr>
        <w:t>课程名称：</w:t>
      </w:r>
      <w:r>
        <w:rPr>
          <w:rFonts w:hint="eastAsia" w:ascii="宋体" w:hAnsi="宋体" w:eastAsia="宋体" w:cs="宋体"/>
          <w:kern w:val="0"/>
          <w:sz w:val="28"/>
          <w:szCs w:val="28"/>
        </w:rPr>
        <w:t>语文</w:t>
      </w:r>
    </w:p>
    <w:p>
      <w:pPr>
        <w:widowControl/>
        <w:adjustRightInd w:val="0"/>
        <w:snapToGrid w:val="0"/>
        <w:jc w:val="left"/>
        <w:rPr>
          <w:rFonts w:ascii="宋体" w:hAnsi="宋体" w:eastAsia="宋体" w:cs="宋体"/>
          <w:kern w:val="0"/>
          <w:sz w:val="28"/>
          <w:szCs w:val="28"/>
        </w:rPr>
      </w:pPr>
      <w:r>
        <w:rPr>
          <w:rFonts w:hint="eastAsia" w:ascii="宋体" w:hAnsi="宋体" w:eastAsia="宋体" w:cs="宋体"/>
          <w:b/>
          <w:kern w:val="0"/>
          <w:sz w:val="28"/>
          <w:szCs w:val="28"/>
        </w:rPr>
        <w:t>课程类型：</w:t>
      </w:r>
      <w:r>
        <w:rPr>
          <w:rFonts w:hint="eastAsia" w:ascii="宋体" w:hAnsi="宋体" w:eastAsia="宋体" w:cs="宋体"/>
          <w:kern w:val="0"/>
          <w:sz w:val="28"/>
          <w:szCs w:val="28"/>
        </w:rPr>
        <w:t>必修</w:t>
      </w:r>
    </w:p>
    <w:p>
      <w:pPr>
        <w:widowControl/>
        <w:adjustRightInd w:val="0"/>
        <w:snapToGrid w:val="0"/>
        <w:jc w:val="left"/>
        <w:rPr>
          <w:rFonts w:ascii="宋体" w:hAnsi="宋体" w:eastAsia="宋体" w:cs="宋体"/>
          <w:b/>
          <w:kern w:val="0"/>
          <w:sz w:val="28"/>
          <w:szCs w:val="28"/>
        </w:rPr>
      </w:pPr>
      <w:r>
        <w:rPr>
          <w:rFonts w:hint="eastAsia" w:ascii="宋体" w:hAnsi="宋体" w:eastAsia="宋体" w:cs="宋体"/>
          <w:b/>
          <w:kern w:val="0"/>
          <w:sz w:val="28"/>
          <w:szCs w:val="28"/>
        </w:rPr>
        <w:t>教材来源：</w:t>
      </w:r>
      <w:r>
        <w:rPr>
          <w:rFonts w:hint="eastAsia" w:ascii="宋体" w:hAnsi="宋体" w:eastAsia="宋体" w:cs="宋体"/>
          <w:kern w:val="0"/>
          <w:sz w:val="28"/>
          <w:szCs w:val="28"/>
        </w:rPr>
        <w:t>人民教育出版社2017年版</w:t>
      </w:r>
    </w:p>
    <w:p>
      <w:pPr>
        <w:widowControl/>
        <w:adjustRightInd w:val="0"/>
        <w:snapToGrid w:val="0"/>
        <w:jc w:val="left"/>
        <w:rPr>
          <w:rFonts w:ascii="宋体" w:hAnsi="宋体" w:eastAsia="宋体" w:cs="宋体"/>
          <w:kern w:val="0"/>
          <w:sz w:val="28"/>
          <w:szCs w:val="28"/>
        </w:rPr>
      </w:pPr>
      <w:r>
        <w:rPr>
          <w:rFonts w:hint="eastAsia" w:ascii="宋体" w:hAnsi="宋体" w:eastAsia="宋体" w:cs="宋体"/>
          <w:b/>
          <w:kern w:val="0"/>
          <w:sz w:val="28"/>
          <w:szCs w:val="28"/>
        </w:rPr>
        <w:t>适用年级：</w:t>
      </w:r>
      <w:r>
        <w:rPr>
          <w:rFonts w:hint="eastAsia" w:ascii="宋体" w:hAnsi="宋体" w:eastAsia="宋体" w:cs="宋体"/>
          <w:kern w:val="0"/>
          <w:sz w:val="28"/>
          <w:szCs w:val="28"/>
        </w:rPr>
        <w:t>小学一年级</w:t>
      </w:r>
    </w:p>
    <w:p>
      <w:pPr>
        <w:widowControl/>
        <w:adjustRightInd w:val="0"/>
        <w:snapToGrid w:val="0"/>
        <w:jc w:val="left"/>
        <w:rPr>
          <w:rFonts w:ascii="宋体" w:hAnsi="宋体" w:eastAsia="宋体" w:cs="宋体"/>
          <w:kern w:val="0"/>
          <w:sz w:val="28"/>
          <w:szCs w:val="28"/>
        </w:rPr>
      </w:pPr>
      <w:r>
        <w:rPr>
          <w:rFonts w:hint="eastAsia" w:ascii="宋体" w:hAnsi="宋体" w:eastAsia="宋体" w:cs="宋体"/>
          <w:b/>
          <w:kern w:val="0"/>
          <w:sz w:val="28"/>
          <w:szCs w:val="28"/>
        </w:rPr>
        <w:t>课    时：</w:t>
      </w: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26</w:t>
      </w:r>
      <w:r>
        <w:rPr>
          <w:rFonts w:hint="eastAsia" w:ascii="宋体" w:hAnsi="宋体" w:eastAsia="宋体" w:cs="宋体"/>
          <w:kern w:val="0"/>
          <w:sz w:val="28"/>
          <w:szCs w:val="28"/>
        </w:rPr>
        <w:t>时</w:t>
      </w:r>
    </w:p>
    <w:p>
      <w:pPr>
        <w:widowControl/>
        <w:adjustRightInd w:val="0"/>
        <w:snapToGrid w:val="0"/>
        <w:jc w:val="left"/>
        <w:rPr>
          <w:rFonts w:hint="eastAsia" w:ascii="宋体" w:hAnsi="宋体" w:eastAsia="宋体" w:cs="宋体"/>
          <w:kern w:val="0"/>
          <w:sz w:val="28"/>
          <w:szCs w:val="28"/>
        </w:rPr>
      </w:pPr>
      <w:r>
        <w:rPr>
          <w:rFonts w:hint="eastAsia" w:ascii="宋体" w:hAnsi="宋体" w:eastAsia="宋体" w:cs="宋体"/>
          <w:b/>
          <w:kern w:val="0"/>
          <w:sz w:val="28"/>
          <w:szCs w:val="28"/>
        </w:rPr>
        <w:t>设 计 者：</w:t>
      </w:r>
      <w:r>
        <w:rPr>
          <w:rFonts w:hint="eastAsia" w:ascii="宋体" w:hAnsi="宋体" w:eastAsia="宋体" w:cs="宋体"/>
          <w:kern w:val="0"/>
          <w:sz w:val="28"/>
          <w:szCs w:val="28"/>
        </w:rPr>
        <w:t>李晓玉  温文勤</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王东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陈洁</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曾思</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艮爱丽</w:t>
      </w:r>
    </w:p>
    <w:p>
      <w:pPr>
        <w:widowControl/>
        <w:adjustRightInd w:val="0"/>
        <w:snapToGrid w:val="0"/>
        <w:jc w:val="left"/>
        <w:rPr>
          <w:rFonts w:ascii="宋体" w:hAnsi="宋体" w:eastAsia="宋体" w:cs="宋体"/>
          <w:b/>
          <w:kern w:val="0"/>
          <w:sz w:val="28"/>
          <w:szCs w:val="28"/>
        </w:rPr>
      </w:pPr>
    </w:p>
    <w:p>
      <w:pPr>
        <w:widowControl/>
        <w:adjustRightInd w:val="0"/>
        <w:snapToGrid w:val="0"/>
        <w:jc w:val="left"/>
        <w:rPr>
          <w:rFonts w:ascii="宋体" w:hAnsi="宋体" w:eastAsia="宋体" w:cs="宋体"/>
          <w:kern w:val="0"/>
          <w:sz w:val="28"/>
          <w:szCs w:val="28"/>
        </w:rPr>
      </w:pPr>
      <w:r>
        <w:rPr>
          <w:rFonts w:ascii="宋体" w:hAnsi="宋体" w:eastAsia="宋体" w:cs="宋体"/>
          <w:b/>
          <w:kern w:val="0"/>
          <w:sz w:val="28"/>
          <w:szCs w:val="28"/>
        </w:rPr>
        <w:t>背景</w:t>
      </w:r>
    </w:p>
    <w:p>
      <w:pPr>
        <w:widowControl/>
        <w:adjustRightInd w:val="0"/>
        <w:snapToGrid w:val="0"/>
        <w:ind w:firstLine="560" w:firstLineChars="200"/>
        <w:jc w:val="left"/>
        <w:rPr>
          <w:rFonts w:ascii="宋体" w:hAnsi="宋体" w:eastAsia="宋体" w:cs="宋体"/>
          <w:b/>
          <w:kern w:val="0"/>
          <w:sz w:val="28"/>
          <w:szCs w:val="28"/>
        </w:rPr>
      </w:pPr>
      <w:r>
        <w:rPr>
          <w:rFonts w:ascii="宋体" w:hAnsi="宋体" w:eastAsia="宋体" w:cs="宋体"/>
          <w:kern w:val="0"/>
          <w:sz w:val="28"/>
          <w:szCs w:val="28"/>
        </w:rPr>
        <w:t>识字写字是低段语文教学的重中之重，一年级学生有了一学期学习汉字的经历，掌握了一定的识字方法，对汉字产生了一定的兴趣。本册有2个集中识字单元，渗透汉字文化，体现汉字规律，着力激发识字兴趣，培养识字能力，写字编排由易到难，从简单到复杂；6个课文单元文质兼美，体裁多样，题材广泛，有利于激发学生是阅读兴趣，发展阅读能力，实现语言和思维同步发展；口语交际，教材通过目标分解，细化落实，帮助学生在循序渐进中提升能力，使学生的交际能力在层层递进中螺旋上升。</w:t>
      </w:r>
    </w:p>
    <w:p>
      <w:pPr>
        <w:widowControl/>
        <w:adjustRightInd w:val="0"/>
        <w:snapToGrid w:val="0"/>
        <w:jc w:val="left"/>
        <w:rPr>
          <w:rFonts w:ascii="宋体" w:hAnsi="宋体" w:eastAsia="宋体" w:cs="Calibri"/>
          <w:b/>
          <w:color w:val="000000"/>
          <w:sz w:val="28"/>
          <w:szCs w:val="28"/>
        </w:rPr>
      </w:pPr>
    </w:p>
    <w:p>
      <w:pPr>
        <w:widowControl/>
        <w:adjustRightInd w:val="0"/>
        <w:snapToGrid w:val="0"/>
        <w:jc w:val="left"/>
        <w:rPr>
          <w:rFonts w:ascii="宋体" w:hAnsi="宋体" w:eastAsia="宋体" w:cs="宋体"/>
          <w:b/>
          <w:kern w:val="0"/>
          <w:sz w:val="28"/>
          <w:szCs w:val="28"/>
        </w:rPr>
      </w:pPr>
      <w:r>
        <w:rPr>
          <w:rFonts w:hint="eastAsia" w:ascii="宋体" w:hAnsi="宋体" w:eastAsia="宋体" w:cs="宋体"/>
          <w:b/>
          <w:kern w:val="0"/>
          <w:sz w:val="28"/>
          <w:szCs w:val="28"/>
        </w:rPr>
        <w:t>目标</w:t>
      </w:r>
    </w:p>
    <w:p>
      <w:pPr>
        <w:widowControl/>
        <w:numPr>
          <w:ilvl w:val="0"/>
          <w:numId w:val="1"/>
        </w:numPr>
        <w:adjustRightInd w:val="0"/>
        <w:snapToGrid w:val="0"/>
        <w:jc w:val="left"/>
        <w:rPr>
          <w:rFonts w:ascii="宋体" w:hAnsi="宋体" w:eastAsia="宋体" w:cs="Arial"/>
          <w:color w:val="000000"/>
          <w:kern w:val="0"/>
          <w:sz w:val="28"/>
          <w:szCs w:val="28"/>
        </w:rPr>
      </w:pPr>
      <w:r>
        <w:rPr>
          <w:rFonts w:hint="eastAsia" w:ascii="宋体" w:hAnsi="宋体" w:eastAsia="宋体" w:cs="Arial"/>
          <w:color w:val="000000"/>
          <w:kern w:val="0"/>
          <w:sz w:val="28"/>
          <w:szCs w:val="28"/>
        </w:rPr>
        <w:t>通过</w:t>
      </w:r>
      <w:r>
        <w:rPr>
          <w:rFonts w:ascii="宋体" w:hAnsi="宋体" w:eastAsia="宋体" w:cs="Arial"/>
          <w:color w:val="000000"/>
          <w:kern w:val="0"/>
          <w:sz w:val="28"/>
          <w:szCs w:val="28"/>
          <w:lang w:eastAsia="zh-Hans"/>
        </w:rPr>
        <w:t>利用上学期学会的识字方法</w:t>
      </w:r>
      <w:r>
        <w:rPr>
          <w:rFonts w:hint="eastAsia" w:ascii="宋体" w:hAnsi="宋体" w:eastAsia="宋体" w:cs="Arial"/>
          <w:color w:val="FF0000"/>
          <w:kern w:val="0"/>
          <w:sz w:val="28"/>
          <w:szCs w:val="28"/>
          <w:lang w:eastAsia="zh-CN"/>
        </w:rPr>
        <w:t>至少</w:t>
      </w:r>
      <w:r>
        <w:rPr>
          <w:rFonts w:ascii="宋体" w:hAnsi="宋体" w:eastAsia="宋体" w:cs="Arial"/>
          <w:color w:val="000000"/>
          <w:kern w:val="0"/>
          <w:sz w:val="28"/>
          <w:szCs w:val="28"/>
          <w:lang w:eastAsia="zh-Hans"/>
        </w:rPr>
        <w:t>会认字</w:t>
      </w:r>
      <w:r>
        <w:rPr>
          <w:rFonts w:hint="eastAsia" w:ascii="宋体" w:hAnsi="宋体" w:eastAsia="宋体" w:cs="Arial"/>
          <w:color w:val="000000"/>
          <w:kern w:val="0"/>
          <w:sz w:val="28"/>
          <w:szCs w:val="28"/>
        </w:rPr>
        <w:t>400</w:t>
      </w:r>
      <w:r>
        <w:rPr>
          <w:rFonts w:ascii="宋体" w:hAnsi="宋体" w:eastAsia="宋体" w:cs="Arial"/>
          <w:color w:val="000000"/>
          <w:kern w:val="0"/>
          <w:sz w:val="28"/>
          <w:szCs w:val="28"/>
          <w:lang w:eastAsia="zh-Hans"/>
        </w:rPr>
        <w:t>个</w:t>
      </w:r>
      <w:r>
        <w:rPr>
          <w:rFonts w:hint="eastAsia" w:ascii="宋体" w:hAnsi="宋体" w:eastAsia="宋体" w:cs="Arial"/>
          <w:color w:val="000000"/>
          <w:kern w:val="0"/>
          <w:sz w:val="28"/>
          <w:szCs w:val="28"/>
        </w:rPr>
        <w:t>；</w:t>
      </w:r>
      <w:r>
        <w:rPr>
          <w:rFonts w:ascii="宋体" w:hAnsi="宋体" w:eastAsia="宋体" w:cs="Arial"/>
          <w:color w:val="000000"/>
          <w:kern w:val="0"/>
          <w:sz w:val="28"/>
          <w:szCs w:val="28"/>
          <w:lang w:eastAsia="zh-Hans"/>
        </w:rPr>
        <w:t>在掌握汉字基本笔画的基础上，</w:t>
      </w:r>
      <w:r>
        <w:rPr>
          <w:rFonts w:hint="eastAsia" w:ascii="宋体" w:hAnsi="宋体" w:eastAsia="宋体" w:cs="Arial"/>
          <w:color w:val="FF0000"/>
          <w:kern w:val="0"/>
          <w:sz w:val="28"/>
          <w:szCs w:val="28"/>
          <w:lang w:eastAsia="zh-CN"/>
        </w:rPr>
        <w:t>至少</w:t>
      </w:r>
      <w:r>
        <w:rPr>
          <w:rFonts w:hint="eastAsia" w:ascii="宋体" w:hAnsi="宋体" w:eastAsia="宋体" w:cs="Arial"/>
          <w:color w:val="000000"/>
          <w:kern w:val="0"/>
          <w:sz w:val="28"/>
          <w:szCs w:val="28"/>
        </w:rPr>
        <w:t>会</w:t>
      </w:r>
      <w:r>
        <w:rPr>
          <w:rFonts w:ascii="宋体" w:hAnsi="宋体" w:eastAsia="宋体" w:cs="Arial"/>
          <w:color w:val="000000"/>
          <w:kern w:val="0"/>
          <w:sz w:val="28"/>
          <w:szCs w:val="28"/>
          <w:lang w:eastAsia="zh-Hans"/>
        </w:rPr>
        <w:t>写生字2</w:t>
      </w:r>
      <w:r>
        <w:rPr>
          <w:rFonts w:hint="eastAsia" w:ascii="宋体" w:hAnsi="宋体" w:eastAsia="宋体" w:cs="Arial"/>
          <w:color w:val="000000"/>
          <w:kern w:val="0"/>
          <w:sz w:val="28"/>
          <w:szCs w:val="28"/>
        </w:rPr>
        <w:t>00</w:t>
      </w:r>
      <w:r>
        <w:rPr>
          <w:rFonts w:ascii="宋体" w:hAnsi="宋体" w:eastAsia="宋体" w:cs="Arial"/>
          <w:color w:val="000000"/>
          <w:kern w:val="0"/>
          <w:sz w:val="28"/>
          <w:szCs w:val="28"/>
          <w:lang w:eastAsia="zh-Hans"/>
        </w:rPr>
        <w:t>个。学习常用偏旁部首，能按笔顺规则</w:t>
      </w:r>
      <w:r>
        <w:rPr>
          <w:rFonts w:hint="eastAsia" w:ascii="宋体" w:hAnsi="宋体" w:eastAsia="宋体" w:cs="Arial"/>
          <w:color w:val="000000"/>
          <w:kern w:val="0"/>
          <w:sz w:val="28"/>
          <w:szCs w:val="28"/>
        </w:rPr>
        <w:t>书写</w:t>
      </w:r>
      <w:r>
        <w:rPr>
          <w:rFonts w:ascii="宋体" w:hAnsi="宋体" w:eastAsia="宋体" w:cs="Arial"/>
          <w:color w:val="000000"/>
          <w:kern w:val="0"/>
          <w:sz w:val="28"/>
          <w:szCs w:val="28"/>
          <w:lang w:eastAsia="zh-Hans"/>
        </w:rPr>
        <w:t>，注意间架结构。</w:t>
      </w:r>
    </w:p>
    <w:p>
      <w:pPr>
        <w:widowControl/>
        <w:numPr>
          <w:ilvl w:val="0"/>
          <w:numId w:val="1"/>
        </w:numPr>
        <w:adjustRightInd w:val="0"/>
        <w:snapToGrid w:val="0"/>
        <w:jc w:val="left"/>
        <w:rPr>
          <w:rFonts w:ascii="宋体" w:hAnsi="宋体" w:eastAsia="宋体" w:cs="Arial"/>
          <w:color w:val="000000"/>
          <w:kern w:val="0"/>
          <w:sz w:val="28"/>
          <w:szCs w:val="28"/>
          <w:lang w:eastAsia="zh-Hans"/>
        </w:rPr>
      </w:pPr>
      <w:r>
        <w:rPr>
          <w:rFonts w:hint="eastAsia" w:ascii="宋体" w:hAnsi="宋体" w:eastAsia="宋体" w:cs="Arial"/>
          <w:color w:val="000000"/>
          <w:kern w:val="0"/>
          <w:sz w:val="28"/>
          <w:szCs w:val="28"/>
        </w:rPr>
        <w:t>通过</w:t>
      </w:r>
      <w:r>
        <w:rPr>
          <w:rFonts w:ascii="宋体" w:hAnsi="宋体" w:eastAsia="宋体" w:cs="Arial"/>
          <w:color w:val="000000"/>
          <w:kern w:val="0"/>
          <w:sz w:val="28"/>
          <w:szCs w:val="28"/>
          <w:lang w:eastAsia="zh-Hans"/>
        </w:rPr>
        <w:t>认识大写字母，熟记《汉语拼音字母表》</w:t>
      </w:r>
      <w:r>
        <w:rPr>
          <w:rFonts w:hint="eastAsia" w:ascii="宋体" w:hAnsi="宋体" w:eastAsia="宋体" w:cs="Arial"/>
          <w:color w:val="000000"/>
          <w:kern w:val="0"/>
          <w:sz w:val="28"/>
          <w:szCs w:val="28"/>
        </w:rPr>
        <w:t>，</w:t>
      </w:r>
      <w:r>
        <w:rPr>
          <w:rFonts w:ascii="宋体" w:hAnsi="宋体" w:eastAsia="宋体" w:cs="Arial"/>
          <w:color w:val="000000"/>
          <w:kern w:val="0"/>
          <w:sz w:val="28"/>
          <w:szCs w:val="28"/>
          <w:lang w:eastAsia="zh-Hans"/>
        </w:rPr>
        <w:t>学习音序检字法查字典</w:t>
      </w:r>
      <w:r>
        <w:rPr>
          <w:rFonts w:hint="eastAsia" w:ascii="宋体" w:hAnsi="宋体" w:eastAsia="宋体" w:cs="Arial"/>
          <w:color w:val="000000"/>
          <w:kern w:val="0"/>
          <w:sz w:val="28"/>
          <w:szCs w:val="28"/>
        </w:rPr>
        <w:t>。</w:t>
      </w:r>
    </w:p>
    <w:p>
      <w:pPr>
        <w:widowControl/>
        <w:numPr>
          <w:ilvl w:val="0"/>
          <w:numId w:val="1"/>
        </w:numPr>
        <w:adjustRightInd w:val="0"/>
        <w:snapToGrid w:val="0"/>
        <w:jc w:val="left"/>
        <w:rPr>
          <w:rFonts w:ascii="宋体" w:hAnsi="宋体" w:eastAsia="宋体" w:cs="Arial"/>
          <w:color w:val="000000"/>
          <w:kern w:val="0"/>
          <w:sz w:val="28"/>
          <w:szCs w:val="28"/>
        </w:rPr>
      </w:pPr>
      <w:r>
        <w:rPr>
          <w:rFonts w:hint="eastAsia" w:ascii="宋体" w:hAnsi="宋体" w:eastAsia="宋体" w:cs="Arial"/>
          <w:color w:val="000000"/>
          <w:kern w:val="0"/>
          <w:sz w:val="28"/>
          <w:szCs w:val="28"/>
        </w:rPr>
        <w:t>通过结合上下文和生活实际</w:t>
      </w:r>
      <w:r>
        <w:rPr>
          <w:rFonts w:ascii="宋体" w:hAnsi="宋体" w:eastAsia="宋体" w:cs="微软雅黑"/>
          <w:color w:val="000000"/>
          <w:sz w:val="28"/>
          <w:szCs w:val="28"/>
        </w:rPr>
        <w:t>了解课文中词句的意思，积累词语。</w:t>
      </w:r>
      <w:r>
        <w:rPr>
          <w:rFonts w:hint="eastAsia" w:ascii="宋体" w:hAnsi="宋体" w:eastAsia="宋体" w:cs="微软雅黑"/>
          <w:color w:val="000000"/>
          <w:sz w:val="28"/>
          <w:szCs w:val="28"/>
        </w:rPr>
        <w:t>通过阅读，</w:t>
      </w:r>
      <w:r>
        <w:rPr>
          <w:rFonts w:ascii="宋体" w:hAnsi="宋体" w:eastAsia="宋体" w:cs="Arial"/>
          <w:color w:val="000000"/>
          <w:kern w:val="0"/>
          <w:sz w:val="28"/>
          <w:szCs w:val="28"/>
          <w:lang w:eastAsia="zh-Hans"/>
        </w:rPr>
        <w:t>体会句号、问号、感叹号所表达的不同语气。</w:t>
      </w:r>
    </w:p>
    <w:p>
      <w:pPr>
        <w:widowControl/>
        <w:numPr>
          <w:ilvl w:val="0"/>
          <w:numId w:val="1"/>
        </w:numPr>
        <w:adjustRightInd w:val="0"/>
        <w:snapToGrid w:val="0"/>
        <w:jc w:val="left"/>
        <w:rPr>
          <w:rFonts w:ascii="宋体" w:hAnsi="宋体" w:eastAsia="宋体" w:cs="Arial"/>
          <w:color w:val="000000"/>
          <w:kern w:val="0"/>
          <w:sz w:val="28"/>
          <w:szCs w:val="28"/>
        </w:rPr>
      </w:pPr>
      <w:r>
        <w:rPr>
          <w:rFonts w:hint="eastAsia" w:ascii="宋体" w:hAnsi="宋体" w:eastAsia="宋体" w:cs="Arial"/>
          <w:color w:val="000000"/>
          <w:kern w:val="0"/>
          <w:sz w:val="28"/>
          <w:szCs w:val="28"/>
        </w:rPr>
        <w:t>通过阅读，对感兴趣的人物和事件有自己的感受和想法，乐于与人交流。</w:t>
      </w:r>
    </w:p>
    <w:p>
      <w:pPr>
        <w:widowControl/>
        <w:numPr>
          <w:ilvl w:val="0"/>
          <w:numId w:val="1"/>
        </w:numPr>
        <w:adjustRightInd w:val="0"/>
        <w:snapToGrid w:val="0"/>
        <w:jc w:val="left"/>
        <w:rPr>
          <w:rFonts w:ascii="宋体" w:hAnsi="宋体" w:eastAsia="宋体" w:cs="Arial"/>
          <w:color w:val="000000"/>
          <w:kern w:val="0"/>
          <w:sz w:val="28"/>
          <w:szCs w:val="28"/>
        </w:rPr>
      </w:pPr>
      <w:r>
        <w:rPr>
          <w:rFonts w:hint="eastAsia" w:ascii="宋体" w:hAnsi="宋体" w:eastAsia="宋体" w:cs="Arial"/>
          <w:color w:val="000000"/>
          <w:kern w:val="0"/>
          <w:sz w:val="28"/>
          <w:szCs w:val="28"/>
        </w:rPr>
        <w:t>在与别人交谈时，能认真倾听别人讲话，努力了解讲话的主要内容，并能大方、有礼貌交谈。</w:t>
      </w:r>
    </w:p>
    <w:p>
      <w:pPr>
        <w:widowControl/>
        <w:numPr>
          <w:ilvl w:val="0"/>
          <w:numId w:val="0"/>
        </w:numPr>
        <w:adjustRightInd w:val="0"/>
        <w:snapToGrid w:val="0"/>
        <w:jc w:val="left"/>
        <w:rPr>
          <w:rFonts w:hint="eastAsia" w:ascii="宋体" w:hAnsi="宋体" w:eastAsia="宋体" w:cs="Arial"/>
          <w:color w:val="000000"/>
          <w:kern w:val="0"/>
          <w:sz w:val="28"/>
          <w:szCs w:val="28"/>
        </w:rPr>
      </w:pPr>
    </w:p>
    <w:p>
      <w:pPr>
        <w:widowControl/>
        <w:numPr>
          <w:ilvl w:val="0"/>
          <w:numId w:val="0"/>
        </w:numPr>
        <w:adjustRightInd w:val="0"/>
        <w:snapToGrid w:val="0"/>
        <w:jc w:val="left"/>
        <w:rPr>
          <w:rFonts w:hint="eastAsia" w:ascii="宋体" w:hAnsi="宋体" w:eastAsia="宋体" w:cs="Arial"/>
          <w:color w:val="000000"/>
          <w:kern w:val="0"/>
          <w:sz w:val="28"/>
          <w:szCs w:val="28"/>
        </w:rPr>
      </w:pPr>
    </w:p>
    <w:p>
      <w:pPr>
        <w:widowControl/>
        <w:numPr>
          <w:ilvl w:val="0"/>
          <w:numId w:val="0"/>
        </w:numPr>
        <w:adjustRightInd w:val="0"/>
        <w:snapToGrid w:val="0"/>
        <w:jc w:val="left"/>
        <w:rPr>
          <w:rFonts w:hint="eastAsia" w:ascii="宋体" w:hAnsi="宋体" w:eastAsia="宋体" w:cs="Arial"/>
          <w:color w:val="000000"/>
          <w:kern w:val="0"/>
          <w:sz w:val="28"/>
          <w:szCs w:val="28"/>
        </w:rPr>
      </w:pPr>
    </w:p>
    <w:p>
      <w:pPr>
        <w:widowControl/>
        <w:numPr>
          <w:ilvl w:val="0"/>
          <w:numId w:val="0"/>
        </w:numPr>
        <w:adjustRightInd w:val="0"/>
        <w:snapToGrid w:val="0"/>
        <w:jc w:val="left"/>
        <w:rPr>
          <w:rFonts w:hint="eastAsia" w:ascii="宋体" w:hAnsi="宋体" w:eastAsia="宋体" w:cs="Arial"/>
          <w:color w:val="000000"/>
          <w:kern w:val="0"/>
          <w:sz w:val="28"/>
          <w:szCs w:val="28"/>
        </w:rPr>
      </w:pPr>
    </w:p>
    <w:p>
      <w:pPr>
        <w:widowControl/>
        <w:numPr>
          <w:ilvl w:val="0"/>
          <w:numId w:val="0"/>
        </w:numPr>
        <w:adjustRightInd w:val="0"/>
        <w:snapToGrid w:val="0"/>
        <w:jc w:val="left"/>
        <w:rPr>
          <w:rFonts w:hint="eastAsia" w:ascii="宋体" w:hAnsi="宋体" w:eastAsia="宋体" w:cs="Arial"/>
          <w:color w:val="000000"/>
          <w:kern w:val="0"/>
          <w:sz w:val="28"/>
          <w:szCs w:val="28"/>
        </w:rPr>
      </w:pPr>
    </w:p>
    <w:p>
      <w:pPr>
        <w:widowControl/>
        <w:numPr>
          <w:ilvl w:val="0"/>
          <w:numId w:val="0"/>
        </w:numPr>
        <w:adjustRightInd w:val="0"/>
        <w:snapToGrid w:val="0"/>
        <w:jc w:val="left"/>
        <w:rPr>
          <w:rFonts w:hint="eastAsia" w:ascii="宋体" w:hAnsi="宋体" w:eastAsia="宋体" w:cs="Arial"/>
          <w:color w:val="000000"/>
          <w:kern w:val="0"/>
          <w:sz w:val="28"/>
          <w:szCs w:val="28"/>
        </w:rPr>
      </w:pPr>
    </w:p>
    <w:p>
      <w:pPr>
        <w:widowControl/>
        <w:adjustRightInd w:val="0"/>
        <w:snapToGrid w:val="0"/>
        <w:jc w:val="left"/>
        <w:rPr>
          <w:rFonts w:ascii="宋体" w:hAnsi="宋体" w:eastAsia="宋体" w:cs="宋体"/>
          <w:b/>
          <w:kern w:val="0"/>
          <w:sz w:val="24"/>
        </w:rPr>
      </w:pPr>
    </w:p>
    <w:p>
      <w:pPr>
        <w:widowControl/>
        <w:adjustRightInd w:val="0"/>
        <w:snapToGrid w:val="0"/>
        <w:jc w:val="left"/>
        <w:rPr>
          <w:rFonts w:ascii="宋体" w:hAnsi="宋体" w:eastAsia="宋体" w:cs="宋体"/>
          <w:b/>
          <w:kern w:val="0"/>
          <w:sz w:val="24"/>
        </w:rPr>
      </w:pPr>
      <w:r>
        <w:rPr>
          <w:rFonts w:hint="eastAsia" w:ascii="宋体" w:hAnsi="宋体" w:eastAsia="宋体" w:cs="宋体"/>
          <w:b/>
          <w:kern w:val="0"/>
          <w:sz w:val="24"/>
        </w:rPr>
        <w:t>内容</w:t>
      </w:r>
    </w:p>
    <w:tbl>
      <w:tblPr>
        <w:tblStyle w:val="7"/>
        <w:tblW w:w="822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478"/>
        <w:gridCol w:w="720"/>
        <w:gridCol w:w="1050"/>
        <w:gridCol w:w="226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6"/>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分享本科课程纲要</w:t>
            </w:r>
            <w:r>
              <w:rPr>
                <w:rFonts w:hint="eastAsia" w:ascii="宋体" w:hAnsi="宋体" w:eastAsia="宋体" w:cs="Calibri"/>
                <w:color w:val="000000"/>
                <w:kern w:val="2"/>
                <w:sz w:val="24"/>
                <w:szCs w:val="24"/>
              </w:rPr>
              <w:t>1</w:t>
            </w:r>
            <w:r>
              <w:rPr>
                <w:rFonts w:hint="eastAsia" w:ascii="宋体" w:hAnsi="宋体" w:eastAsia="宋体" w:cs="宋体"/>
                <w:color w:val="000000"/>
                <w:kern w:val="2"/>
                <w:sz w:val="24"/>
                <w:szCs w:val="24"/>
              </w:rPr>
              <w:t>课时。采用引导，提问质疑，交流的方式分享。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958" w:type="dxa"/>
            <w:vAlign w:val="center"/>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b/>
                <w:bCs/>
                <w:color w:val="000000"/>
                <w:kern w:val="2"/>
                <w:sz w:val="24"/>
                <w:szCs w:val="24"/>
              </w:rPr>
              <w:t>教学主题</w:t>
            </w:r>
          </w:p>
        </w:tc>
        <w:tc>
          <w:tcPr>
            <w:tcW w:w="2478" w:type="dxa"/>
            <w:vAlign w:val="center"/>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b/>
                <w:bCs/>
                <w:color w:val="000000"/>
                <w:kern w:val="2"/>
                <w:sz w:val="24"/>
                <w:szCs w:val="24"/>
              </w:rPr>
              <w:t>教学内容</w:t>
            </w:r>
          </w:p>
        </w:tc>
        <w:tc>
          <w:tcPr>
            <w:tcW w:w="720" w:type="dxa"/>
            <w:vAlign w:val="center"/>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b/>
                <w:bCs/>
                <w:color w:val="000000"/>
                <w:kern w:val="2"/>
                <w:sz w:val="24"/>
                <w:szCs w:val="24"/>
              </w:rPr>
              <w:t>课时</w:t>
            </w:r>
          </w:p>
        </w:tc>
        <w:tc>
          <w:tcPr>
            <w:tcW w:w="1050" w:type="dxa"/>
            <w:vAlign w:val="center"/>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b/>
                <w:bCs/>
                <w:color w:val="000000"/>
                <w:kern w:val="2"/>
                <w:sz w:val="24"/>
                <w:szCs w:val="24"/>
              </w:rPr>
              <w:t>教学主题</w:t>
            </w:r>
          </w:p>
        </w:tc>
        <w:tc>
          <w:tcPr>
            <w:tcW w:w="2268" w:type="dxa"/>
            <w:vAlign w:val="center"/>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b/>
                <w:bCs/>
                <w:color w:val="000000"/>
                <w:kern w:val="2"/>
                <w:sz w:val="24"/>
                <w:szCs w:val="24"/>
              </w:rPr>
              <w:t>教学内容</w:t>
            </w:r>
          </w:p>
        </w:tc>
        <w:tc>
          <w:tcPr>
            <w:tcW w:w="748" w:type="dxa"/>
            <w:vAlign w:val="center"/>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b/>
                <w:bCs/>
                <w:color w:val="000000"/>
                <w:kern w:val="2"/>
                <w:sz w:val="24"/>
                <w:szCs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restart"/>
          </w:tcPr>
          <w:p>
            <w:pPr>
              <w:widowControl/>
              <w:adjustRightInd w:val="0"/>
              <w:snapToGrid w:val="0"/>
              <w:jc w:val="center"/>
              <w:rPr>
                <w:rFonts w:ascii="宋体" w:hAnsi="宋体" w:eastAsia="宋体" w:cs="Calibri"/>
                <w:color w:val="000000"/>
                <w:kern w:val="2"/>
                <w:sz w:val="24"/>
                <w:szCs w:val="24"/>
              </w:rPr>
            </w:pPr>
            <w:r>
              <w:rPr>
                <w:rFonts w:hint="eastAsia" w:ascii="宋体" w:hAnsi="宋体" w:eastAsia="宋体" w:cs="宋体"/>
                <w:color w:val="000000"/>
                <w:kern w:val="2"/>
                <w:sz w:val="24"/>
                <w:szCs w:val="24"/>
              </w:rPr>
              <w:t>第一组</w:t>
            </w:r>
          </w:p>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b/>
                <w:bCs/>
                <w:color w:val="000000"/>
                <w:kern w:val="2"/>
                <w:sz w:val="24"/>
                <w:szCs w:val="24"/>
              </w:rPr>
              <w:t>识字</w:t>
            </w:r>
          </w:p>
        </w:tc>
        <w:tc>
          <w:tcPr>
            <w:tcW w:w="247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1</w:t>
            </w:r>
            <w:r>
              <w:rPr>
                <w:rFonts w:hint="eastAsia" w:ascii="宋体" w:hAnsi="宋体" w:eastAsia="宋体" w:cs="宋体"/>
                <w:color w:val="000000"/>
                <w:kern w:val="2"/>
                <w:sz w:val="24"/>
                <w:szCs w:val="24"/>
              </w:rPr>
              <w:t>《春夏秋冬》</w:t>
            </w:r>
          </w:p>
        </w:tc>
        <w:tc>
          <w:tcPr>
            <w:tcW w:w="720" w:type="dxa"/>
          </w:tcPr>
          <w:p>
            <w:pPr>
              <w:widowControl/>
              <w:adjustRightInd w:val="0"/>
              <w:snapToGrid w:val="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2</w:t>
            </w:r>
          </w:p>
        </w:tc>
        <w:tc>
          <w:tcPr>
            <w:tcW w:w="1050" w:type="dxa"/>
            <w:vMerge w:val="restart"/>
          </w:tcPr>
          <w:p>
            <w:pPr>
              <w:widowControl/>
              <w:adjustRightInd w:val="0"/>
              <w:snapToGrid w:val="0"/>
              <w:jc w:val="center"/>
              <w:rPr>
                <w:rFonts w:ascii="宋体" w:hAnsi="宋体" w:eastAsia="宋体" w:cs="Calibri"/>
                <w:color w:val="000000"/>
                <w:kern w:val="2"/>
                <w:sz w:val="24"/>
                <w:szCs w:val="24"/>
              </w:rPr>
            </w:pPr>
            <w:r>
              <w:rPr>
                <w:rFonts w:hint="eastAsia" w:ascii="宋体" w:hAnsi="宋体" w:eastAsia="宋体" w:cs="宋体"/>
                <w:color w:val="000000"/>
                <w:kern w:val="2"/>
                <w:sz w:val="24"/>
                <w:szCs w:val="24"/>
              </w:rPr>
              <w:t>第五组</w:t>
            </w:r>
          </w:p>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b/>
                <w:bCs/>
                <w:color w:val="000000"/>
                <w:kern w:val="2"/>
                <w:sz w:val="24"/>
                <w:szCs w:val="24"/>
              </w:rPr>
              <w:t>识字</w:t>
            </w:r>
          </w:p>
        </w:tc>
        <w:tc>
          <w:tcPr>
            <w:tcW w:w="226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5</w:t>
            </w:r>
            <w:r>
              <w:rPr>
                <w:rFonts w:hint="eastAsia" w:ascii="宋体" w:hAnsi="宋体" w:eastAsia="宋体" w:cs="宋体"/>
                <w:color w:val="000000"/>
                <w:kern w:val="2"/>
                <w:sz w:val="24"/>
                <w:szCs w:val="24"/>
              </w:rPr>
              <w:t>《动物儿歌》</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tcPr>
          <w:p>
            <w:pPr>
              <w:widowControl/>
              <w:adjustRightInd w:val="0"/>
              <w:snapToGrid w:val="0"/>
              <w:jc w:val="left"/>
              <w:rPr>
                <w:rFonts w:ascii="宋体" w:hAnsi="宋体" w:eastAsia="宋体" w:cs="Calibri"/>
                <w:b/>
                <w:bCs/>
                <w:color w:val="000000"/>
                <w:kern w:val="2"/>
                <w:sz w:val="24"/>
                <w:szCs w:val="24"/>
              </w:rPr>
            </w:pPr>
          </w:p>
        </w:tc>
        <w:tc>
          <w:tcPr>
            <w:tcW w:w="247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2</w:t>
            </w:r>
            <w:r>
              <w:rPr>
                <w:rFonts w:hint="eastAsia" w:ascii="宋体" w:hAnsi="宋体" w:eastAsia="宋体" w:cs="宋体"/>
                <w:color w:val="000000"/>
                <w:kern w:val="2"/>
                <w:sz w:val="24"/>
                <w:szCs w:val="24"/>
              </w:rPr>
              <w:t>《姓氏歌》</w:t>
            </w:r>
          </w:p>
        </w:tc>
        <w:tc>
          <w:tcPr>
            <w:tcW w:w="720" w:type="dxa"/>
          </w:tcPr>
          <w:p>
            <w:pPr>
              <w:widowControl/>
              <w:adjustRightInd w:val="0"/>
              <w:snapToGrid w:val="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2</w:t>
            </w:r>
          </w:p>
        </w:tc>
        <w:tc>
          <w:tcPr>
            <w:tcW w:w="1050" w:type="dxa"/>
            <w:vMerge w:val="continue"/>
          </w:tcPr>
          <w:p>
            <w:pPr>
              <w:widowControl/>
              <w:adjustRightInd w:val="0"/>
              <w:snapToGrid w:val="0"/>
              <w:jc w:val="left"/>
              <w:rPr>
                <w:rFonts w:ascii="宋体" w:hAnsi="宋体" w:eastAsia="宋体" w:cs="Calibri"/>
                <w:b/>
                <w:bCs/>
                <w:color w:val="000000"/>
                <w:kern w:val="2"/>
                <w:sz w:val="24"/>
                <w:szCs w:val="24"/>
              </w:rPr>
            </w:pPr>
          </w:p>
        </w:tc>
        <w:tc>
          <w:tcPr>
            <w:tcW w:w="226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6</w:t>
            </w:r>
            <w:r>
              <w:rPr>
                <w:rFonts w:hint="eastAsia" w:ascii="宋体" w:hAnsi="宋体" w:eastAsia="宋体" w:cs="宋体"/>
                <w:color w:val="000000"/>
                <w:kern w:val="2"/>
                <w:sz w:val="24"/>
                <w:szCs w:val="24"/>
              </w:rPr>
              <w:t>《古对今》</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tcPr>
          <w:p>
            <w:pPr>
              <w:widowControl/>
              <w:adjustRightInd w:val="0"/>
              <w:snapToGrid w:val="0"/>
              <w:jc w:val="left"/>
              <w:rPr>
                <w:rFonts w:ascii="宋体" w:hAnsi="宋体" w:eastAsia="宋体" w:cs="Calibri"/>
                <w:b/>
                <w:bCs/>
                <w:color w:val="000000"/>
                <w:kern w:val="2"/>
                <w:sz w:val="24"/>
                <w:szCs w:val="24"/>
              </w:rPr>
            </w:pPr>
          </w:p>
        </w:tc>
        <w:tc>
          <w:tcPr>
            <w:tcW w:w="247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3</w:t>
            </w:r>
            <w:r>
              <w:rPr>
                <w:rFonts w:hint="eastAsia" w:ascii="宋体" w:hAnsi="宋体" w:eastAsia="宋体" w:cs="宋体"/>
                <w:color w:val="000000"/>
                <w:kern w:val="2"/>
                <w:sz w:val="24"/>
                <w:szCs w:val="24"/>
              </w:rPr>
              <w:t>《小青蛙》</w:t>
            </w:r>
          </w:p>
        </w:tc>
        <w:tc>
          <w:tcPr>
            <w:tcW w:w="720" w:type="dxa"/>
          </w:tcPr>
          <w:p>
            <w:pPr>
              <w:widowControl/>
              <w:adjustRightInd w:val="0"/>
              <w:snapToGrid w:val="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2</w:t>
            </w:r>
          </w:p>
        </w:tc>
        <w:tc>
          <w:tcPr>
            <w:tcW w:w="1050" w:type="dxa"/>
            <w:vMerge w:val="continue"/>
          </w:tcPr>
          <w:p>
            <w:pPr>
              <w:widowControl/>
              <w:adjustRightInd w:val="0"/>
              <w:snapToGrid w:val="0"/>
              <w:jc w:val="left"/>
              <w:rPr>
                <w:rFonts w:ascii="宋体" w:hAnsi="宋体" w:eastAsia="宋体" w:cs="Calibri"/>
                <w:b/>
                <w:bCs/>
                <w:color w:val="000000"/>
                <w:kern w:val="2"/>
                <w:sz w:val="24"/>
                <w:szCs w:val="24"/>
              </w:rPr>
            </w:pPr>
          </w:p>
        </w:tc>
        <w:tc>
          <w:tcPr>
            <w:tcW w:w="226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7</w:t>
            </w:r>
            <w:r>
              <w:rPr>
                <w:rFonts w:hint="eastAsia" w:ascii="宋体" w:hAnsi="宋体" w:eastAsia="宋体" w:cs="宋体"/>
                <w:color w:val="000000"/>
                <w:kern w:val="2"/>
                <w:sz w:val="24"/>
                <w:szCs w:val="24"/>
              </w:rPr>
              <w:t>《操场上》</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tcPr>
          <w:p>
            <w:pPr>
              <w:widowControl/>
              <w:adjustRightInd w:val="0"/>
              <w:snapToGrid w:val="0"/>
              <w:jc w:val="left"/>
              <w:rPr>
                <w:rFonts w:ascii="宋体" w:hAnsi="宋体" w:eastAsia="宋体" w:cs="Calibri"/>
                <w:b/>
                <w:bCs/>
                <w:color w:val="000000"/>
                <w:kern w:val="2"/>
                <w:sz w:val="24"/>
                <w:szCs w:val="24"/>
              </w:rPr>
            </w:pPr>
          </w:p>
        </w:tc>
        <w:tc>
          <w:tcPr>
            <w:tcW w:w="247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4</w:t>
            </w:r>
            <w:r>
              <w:rPr>
                <w:rFonts w:hint="eastAsia" w:ascii="宋体" w:hAnsi="宋体" w:eastAsia="宋体" w:cs="宋体"/>
                <w:color w:val="000000"/>
                <w:kern w:val="2"/>
                <w:sz w:val="24"/>
                <w:szCs w:val="24"/>
              </w:rPr>
              <w:t>《猜字谜》</w:t>
            </w:r>
          </w:p>
        </w:tc>
        <w:tc>
          <w:tcPr>
            <w:tcW w:w="720" w:type="dxa"/>
          </w:tcPr>
          <w:p>
            <w:pPr>
              <w:widowControl/>
              <w:adjustRightInd w:val="0"/>
              <w:snapToGrid w:val="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2</w:t>
            </w:r>
          </w:p>
        </w:tc>
        <w:tc>
          <w:tcPr>
            <w:tcW w:w="1050" w:type="dxa"/>
            <w:vMerge w:val="continue"/>
          </w:tcPr>
          <w:p>
            <w:pPr>
              <w:widowControl/>
              <w:adjustRightInd w:val="0"/>
              <w:snapToGrid w:val="0"/>
              <w:jc w:val="left"/>
              <w:rPr>
                <w:rFonts w:ascii="宋体" w:hAnsi="宋体" w:eastAsia="宋体" w:cs="Calibri"/>
                <w:b/>
                <w:bCs/>
                <w:color w:val="000000"/>
                <w:kern w:val="2"/>
                <w:sz w:val="24"/>
                <w:szCs w:val="24"/>
              </w:rPr>
            </w:pPr>
          </w:p>
        </w:tc>
        <w:tc>
          <w:tcPr>
            <w:tcW w:w="226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8</w:t>
            </w:r>
            <w:r>
              <w:rPr>
                <w:rFonts w:hint="eastAsia" w:ascii="宋体" w:hAnsi="宋体" w:eastAsia="宋体" w:cs="宋体"/>
                <w:color w:val="000000"/>
                <w:kern w:val="2"/>
                <w:sz w:val="24"/>
                <w:szCs w:val="24"/>
              </w:rPr>
              <w:t>《人之初》</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tcPr>
          <w:p>
            <w:pPr>
              <w:widowControl/>
              <w:adjustRightInd w:val="0"/>
              <w:snapToGrid w:val="0"/>
              <w:jc w:val="left"/>
              <w:rPr>
                <w:rFonts w:ascii="宋体" w:hAnsi="宋体" w:eastAsia="宋体" w:cs="Calibri"/>
                <w:b/>
                <w:bCs/>
                <w:color w:val="000000"/>
                <w:kern w:val="2"/>
                <w:sz w:val="24"/>
                <w:szCs w:val="24"/>
              </w:rPr>
            </w:pPr>
          </w:p>
        </w:tc>
        <w:tc>
          <w:tcPr>
            <w:tcW w:w="247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口语交际：听故事，讲故事</w:t>
            </w:r>
          </w:p>
        </w:tc>
        <w:tc>
          <w:tcPr>
            <w:tcW w:w="720" w:type="dxa"/>
          </w:tcPr>
          <w:p>
            <w:pPr>
              <w:widowControl/>
              <w:adjustRightInd w:val="0"/>
              <w:snapToGrid w:val="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1</w:t>
            </w:r>
          </w:p>
        </w:tc>
        <w:tc>
          <w:tcPr>
            <w:tcW w:w="1050" w:type="dxa"/>
            <w:vMerge w:val="continue"/>
          </w:tcPr>
          <w:p>
            <w:pPr>
              <w:widowControl/>
              <w:adjustRightInd w:val="0"/>
              <w:snapToGrid w:val="0"/>
              <w:jc w:val="left"/>
              <w:rPr>
                <w:rFonts w:ascii="宋体" w:hAnsi="宋体" w:eastAsia="宋体" w:cs="Calibri"/>
                <w:b/>
                <w:bCs/>
                <w:color w:val="000000"/>
                <w:kern w:val="2"/>
                <w:sz w:val="24"/>
                <w:szCs w:val="24"/>
              </w:rPr>
            </w:pPr>
          </w:p>
        </w:tc>
        <w:tc>
          <w:tcPr>
            <w:tcW w:w="226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口语交际：打电话</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58" w:type="dxa"/>
            <w:vMerge w:val="continue"/>
          </w:tcPr>
          <w:p>
            <w:pPr>
              <w:widowControl/>
              <w:adjustRightInd w:val="0"/>
              <w:snapToGrid w:val="0"/>
              <w:jc w:val="left"/>
              <w:rPr>
                <w:rFonts w:ascii="宋体" w:hAnsi="宋体" w:eastAsia="宋体" w:cs="Calibri"/>
                <w:b/>
                <w:bCs/>
                <w:color w:val="000000"/>
                <w:kern w:val="2"/>
                <w:sz w:val="24"/>
                <w:szCs w:val="24"/>
              </w:rPr>
            </w:pPr>
          </w:p>
        </w:tc>
        <w:tc>
          <w:tcPr>
            <w:tcW w:w="2478" w:type="dxa"/>
            <w:vMerge w:val="restart"/>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语文园地一</w:t>
            </w:r>
          </w:p>
        </w:tc>
        <w:tc>
          <w:tcPr>
            <w:tcW w:w="720" w:type="dxa"/>
            <w:vMerge w:val="restart"/>
          </w:tcPr>
          <w:p>
            <w:pPr>
              <w:widowControl/>
              <w:adjustRightInd w:val="0"/>
              <w:snapToGrid w:val="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3</w:t>
            </w:r>
          </w:p>
        </w:tc>
        <w:tc>
          <w:tcPr>
            <w:tcW w:w="1050" w:type="dxa"/>
            <w:vMerge w:val="continue"/>
          </w:tcPr>
          <w:p>
            <w:pPr>
              <w:widowControl/>
              <w:adjustRightInd w:val="0"/>
              <w:snapToGrid w:val="0"/>
              <w:jc w:val="left"/>
              <w:rPr>
                <w:rFonts w:ascii="宋体" w:hAnsi="宋体" w:eastAsia="宋体" w:cs="Calibri"/>
                <w:b/>
                <w:bCs/>
                <w:color w:val="000000"/>
                <w:kern w:val="2"/>
                <w:sz w:val="24"/>
                <w:szCs w:val="24"/>
              </w:rPr>
            </w:pPr>
          </w:p>
        </w:tc>
        <w:tc>
          <w:tcPr>
            <w:tcW w:w="226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语文园地五</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58" w:type="dxa"/>
            <w:vMerge w:val="continue"/>
          </w:tcPr>
          <w:p>
            <w:pPr>
              <w:widowControl/>
              <w:adjustRightInd w:val="0"/>
              <w:snapToGrid w:val="0"/>
              <w:jc w:val="left"/>
            </w:pPr>
          </w:p>
        </w:tc>
        <w:tc>
          <w:tcPr>
            <w:tcW w:w="2478" w:type="dxa"/>
            <w:vMerge w:val="continue"/>
          </w:tcPr>
          <w:p>
            <w:pPr>
              <w:widowControl/>
              <w:adjustRightInd w:val="0"/>
              <w:snapToGrid w:val="0"/>
              <w:jc w:val="left"/>
            </w:pPr>
          </w:p>
        </w:tc>
        <w:tc>
          <w:tcPr>
            <w:tcW w:w="720" w:type="dxa"/>
            <w:vMerge w:val="continue"/>
          </w:tcPr>
          <w:p>
            <w:pPr>
              <w:widowControl/>
              <w:adjustRightInd w:val="0"/>
              <w:snapToGrid w:val="0"/>
              <w:jc w:val="left"/>
            </w:pPr>
          </w:p>
        </w:tc>
        <w:tc>
          <w:tcPr>
            <w:tcW w:w="1050" w:type="dxa"/>
            <w:vMerge w:val="continue"/>
          </w:tcPr>
          <w:p>
            <w:pPr>
              <w:widowControl/>
              <w:adjustRightInd w:val="0"/>
              <w:snapToGrid w:val="0"/>
              <w:jc w:val="left"/>
            </w:pPr>
          </w:p>
        </w:tc>
        <w:tc>
          <w:tcPr>
            <w:tcW w:w="2268" w:type="dxa"/>
            <w:vAlign w:val="top"/>
          </w:tcPr>
          <w:p>
            <w:pPr>
              <w:widowControl/>
              <w:adjustRightInd w:val="0"/>
              <w:snapToGrid w:val="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复习检测</w:t>
            </w:r>
          </w:p>
        </w:tc>
        <w:tc>
          <w:tcPr>
            <w:tcW w:w="748" w:type="dxa"/>
            <w:vAlign w:val="top"/>
          </w:tcPr>
          <w:p>
            <w:pPr>
              <w:widowControl/>
              <w:adjustRightInd w:val="0"/>
              <w:snapToGrid w:val="0"/>
              <w:ind w:firstLine="240" w:firstLineChars="1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58" w:type="dxa"/>
            <w:vMerge w:val="continue"/>
          </w:tcPr>
          <w:p>
            <w:pPr>
              <w:widowControl/>
              <w:adjustRightInd w:val="0"/>
              <w:snapToGrid w:val="0"/>
              <w:jc w:val="left"/>
              <w:rPr>
                <w:rFonts w:ascii="宋体" w:hAnsi="宋体" w:eastAsia="宋体" w:cs="Calibri"/>
                <w:b/>
                <w:bCs/>
                <w:color w:val="000000"/>
                <w:kern w:val="2"/>
                <w:sz w:val="24"/>
                <w:szCs w:val="24"/>
              </w:rPr>
            </w:pPr>
          </w:p>
        </w:tc>
        <w:tc>
          <w:tcPr>
            <w:tcW w:w="247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快乐读书吧</w:t>
            </w:r>
          </w:p>
        </w:tc>
        <w:tc>
          <w:tcPr>
            <w:tcW w:w="720" w:type="dxa"/>
          </w:tcPr>
          <w:p>
            <w:pPr>
              <w:widowControl/>
              <w:adjustRightInd w:val="0"/>
              <w:snapToGrid w:val="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1</w:t>
            </w:r>
          </w:p>
        </w:tc>
        <w:tc>
          <w:tcPr>
            <w:tcW w:w="1050" w:type="dxa"/>
            <w:vMerge w:val="restart"/>
          </w:tcPr>
          <w:p>
            <w:pPr>
              <w:widowControl/>
              <w:adjustRightInd w:val="0"/>
              <w:snapToGrid w:val="0"/>
              <w:jc w:val="left"/>
              <w:rPr>
                <w:rFonts w:ascii="宋体" w:hAnsi="宋体" w:eastAsia="宋体" w:cs="Calibri"/>
                <w:color w:val="000000"/>
                <w:kern w:val="2"/>
                <w:sz w:val="24"/>
                <w:szCs w:val="24"/>
              </w:rPr>
            </w:pPr>
            <w:r>
              <w:rPr>
                <w:rFonts w:hint="eastAsia" w:ascii="宋体" w:hAnsi="宋体" w:eastAsia="宋体" w:cs="宋体"/>
                <w:color w:val="000000"/>
                <w:kern w:val="2"/>
                <w:sz w:val="24"/>
                <w:szCs w:val="24"/>
              </w:rPr>
              <w:t>第六组</w:t>
            </w:r>
          </w:p>
          <w:p>
            <w:pPr>
              <w:widowControl/>
              <w:adjustRightInd w:val="0"/>
              <w:snapToGrid w:val="0"/>
              <w:ind w:firstLine="241" w:firstLineChars="100"/>
              <w:jc w:val="left"/>
              <w:rPr>
                <w:rFonts w:ascii="宋体" w:hAnsi="宋体" w:eastAsia="宋体" w:cs="Calibri"/>
                <w:b/>
                <w:bCs/>
                <w:color w:val="000000"/>
                <w:kern w:val="2"/>
                <w:sz w:val="24"/>
                <w:szCs w:val="24"/>
              </w:rPr>
            </w:pPr>
            <w:r>
              <w:rPr>
                <w:rFonts w:hint="eastAsia" w:ascii="宋体" w:hAnsi="宋体" w:eastAsia="宋体" w:cs="宋体"/>
                <w:b/>
                <w:bCs/>
                <w:color w:val="000000"/>
                <w:kern w:val="2"/>
                <w:sz w:val="24"/>
                <w:szCs w:val="24"/>
              </w:rPr>
              <w:t>夏天</w:t>
            </w:r>
          </w:p>
        </w:tc>
        <w:tc>
          <w:tcPr>
            <w:tcW w:w="2268" w:type="dxa"/>
            <w:vMerge w:val="restart"/>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12</w:t>
            </w:r>
            <w:r>
              <w:rPr>
                <w:rFonts w:hint="eastAsia" w:ascii="宋体" w:hAnsi="宋体" w:eastAsia="宋体" w:cs="宋体"/>
                <w:color w:val="000000"/>
                <w:kern w:val="2"/>
                <w:sz w:val="24"/>
                <w:szCs w:val="24"/>
              </w:rPr>
              <w:t>《古诗二首》</w:t>
            </w:r>
          </w:p>
        </w:tc>
        <w:tc>
          <w:tcPr>
            <w:tcW w:w="748" w:type="dxa"/>
            <w:vMerge w:val="restart"/>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58" w:type="dxa"/>
            <w:vMerge w:val="continue"/>
          </w:tcPr>
          <w:p>
            <w:pPr>
              <w:widowControl/>
              <w:adjustRightInd w:val="0"/>
              <w:snapToGrid w:val="0"/>
              <w:jc w:val="left"/>
            </w:pPr>
          </w:p>
        </w:tc>
        <w:tc>
          <w:tcPr>
            <w:tcW w:w="2478" w:type="dxa"/>
          </w:tcPr>
          <w:p>
            <w:pPr>
              <w:widowControl/>
              <w:adjustRightInd w:val="0"/>
              <w:snapToGrid w:val="0"/>
              <w:jc w:val="left"/>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复习检测</w:t>
            </w:r>
          </w:p>
        </w:tc>
        <w:tc>
          <w:tcPr>
            <w:tcW w:w="720" w:type="dxa"/>
          </w:tcPr>
          <w:p>
            <w:pPr>
              <w:widowControl/>
              <w:adjustRightInd w:val="0"/>
              <w:snapToGrid w:val="0"/>
              <w:ind w:firstLine="240" w:firstLineChars="10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w:t>
            </w:r>
          </w:p>
        </w:tc>
        <w:tc>
          <w:tcPr>
            <w:tcW w:w="1050" w:type="dxa"/>
            <w:vMerge w:val="continue"/>
          </w:tcPr>
          <w:p>
            <w:pPr>
              <w:widowControl/>
              <w:adjustRightInd w:val="0"/>
              <w:snapToGrid w:val="0"/>
              <w:jc w:val="left"/>
              <w:rPr>
                <w:rFonts w:hint="eastAsia" w:ascii="宋体" w:hAnsi="宋体" w:eastAsia="宋体" w:cs="宋体"/>
                <w:color w:val="000000"/>
                <w:kern w:val="2"/>
                <w:sz w:val="24"/>
                <w:szCs w:val="24"/>
              </w:rPr>
            </w:pPr>
          </w:p>
        </w:tc>
        <w:tc>
          <w:tcPr>
            <w:tcW w:w="2268" w:type="dxa"/>
            <w:vMerge w:val="continue"/>
          </w:tcPr>
          <w:p>
            <w:pPr>
              <w:widowControl/>
              <w:adjustRightInd w:val="0"/>
              <w:snapToGrid w:val="0"/>
              <w:jc w:val="left"/>
              <w:rPr>
                <w:rFonts w:hint="eastAsia" w:ascii="宋体" w:hAnsi="宋体" w:eastAsia="宋体" w:cs="宋体"/>
                <w:color w:val="000000"/>
                <w:kern w:val="2"/>
                <w:sz w:val="24"/>
                <w:szCs w:val="24"/>
              </w:rPr>
            </w:pPr>
          </w:p>
        </w:tc>
        <w:tc>
          <w:tcPr>
            <w:tcW w:w="748" w:type="dxa"/>
            <w:vMerge w:val="continue"/>
          </w:tcPr>
          <w:p>
            <w:pPr>
              <w:widowControl/>
              <w:adjustRightInd w:val="0"/>
              <w:snapToGrid w:val="0"/>
              <w:jc w:val="left"/>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restart"/>
          </w:tcPr>
          <w:p>
            <w:pPr>
              <w:widowControl/>
              <w:adjustRightInd w:val="0"/>
              <w:snapToGrid w:val="0"/>
              <w:jc w:val="left"/>
              <w:rPr>
                <w:rFonts w:ascii="宋体" w:hAnsi="宋体" w:eastAsia="宋体" w:cs="Calibri"/>
                <w:color w:val="000000"/>
                <w:kern w:val="2"/>
                <w:sz w:val="24"/>
                <w:szCs w:val="24"/>
              </w:rPr>
            </w:pPr>
            <w:r>
              <w:rPr>
                <w:rFonts w:hint="eastAsia" w:ascii="宋体" w:hAnsi="宋体" w:eastAsia="宋体" w:cs="宋体"/>
                <w:color w:val="000000"/>
                <w:kern w:val="2"/>
                <w:sz w:val="24"/>
                <w:szCs w:val="24"/>
              </w:rPr>
              <w:t>第二组</w:t>
            </w:r>
          </w:p>
          <w:p>
            <w:pPr>
              <w:widowControl/>
              <w:adjustRightInd w:val="0"/>
              <w:snapToGrid w:val="0"/>
              <w:ind w:firstLine="241" w:firstLineChars="100"/>
              <w:jc w:val="left"/>
              <w:rPr>
                <w:rFonts w:ascii="宋体" w:hAnsi="宋体" w:eastAsia="宋体" w:cs="Calibri"/>
                <w:b/>
                <w:bCs/>
                <w:color w:val="000000"/>
                <w:kern w:val="2"/>
                <w:sz w:val="24"/>
                <w:szCs w:val="24"/>
              </w:rPr>
            </w:pPr>
            <w:r>
              <w:rPr>
                <w:rFonts w:hint="eastAsia" w:ascii="宋体" w:hAnsi="宋体" w:eastAsia="宋体" w:cs="宋体"/>
                <w:b/>
                <w:bCs/>
                <w:color w:val="000000"/>
                <w:kern w:val="2"/>
                <w:sz w:val="24"/>
                <w:szCs w:val="24"/>
              </w:rPr>
              <w:t>心愿</w:t>
            </w:r>
          </w:p>
        </w:tc>
        <w:tc>
          <w:tcPr>
            <w:tcW w:w="247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1</w:t>
            </w:r>
            <w:r>
              <w:rPr>
                <w:rFonts w:hint="eastAsia" w:ascii="宋体" w:hAnsi="宋体" w:eastAsia="宋体" w:cs="宋体"/>
                <w:color w:val="000000"/>
                <w:kern w:val="2"/>
                <w:sz w:val="24"/>
                <w:szCs w:val="24"/>
              </w:rPr>
              <w:t>《吃水不忘挖井人》</w:t>
            </w:r>
          </w:p>
        </w:tc>
        <w:tc>
          <w:tcPr>
            <w:tcW w:w="720" w:type="dxa"/>
          </w:tcPr>
          <w:p>
            <w:pPr>
              <w:widowControl/>
              <w:adjustRightInd w:val="0"/>
              <w:snapToGrid w:val="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2</w:t>
            </w:r>
          </w:p>
        </w:tc>
        <w:tc>
          <w:tcPr>
            <w:tcW w:w="1050" w:type="dxa"/>
            <w:vMerge w:val="continue"/>
          </w:tcPr>
          <w:p>
            <w:pPr>
              <w:widowControl/>
              <w:adjustRightInd w:val="0"/>
              <w:snapToGrid w:val="0"/>
              <w:jc w:val="left"/>
              <w:rPr>
                <w:rFonts w:ascii="宋体" w:hAnsi="宋体" w:eastAsia="宋体" w:cs="Calibri"/>
                <w:b/>
                <w:bCs/>
                <w:color w:val="000000"/>
                <w:kern w:val="2"/>
                <w:sz w:val="24"/>
                <w:szCs w:val="24"/>
              </w:rPr>
            </w:pPr>
          </w:p>
        </w:tc>
        <w:tc>
          <w:tcPr>
            <w:tcW w:w="226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13</w:t>
            </w:r>
            <w:r>
              <w:rPr>
                <w:rFonts w:hint="eastAsia" w:ascii="宋体" w:hAnsi="宋体" w:eastAsia="宋体" w:cs="宋体"/>
                <w:color w:val="000000"/>
                <w:kern w:val="2"/>
                <w:sz w:val="24"/>
                <w:szCs w:val="24"/>
              </w:rPr>
              <w:t>《荷叶圆圆》</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tcPr>
          <w:p>
            <w:pPr>
              <w:widowControl/>
              <w:adjustRightInd w:val="0"/>
              <w:snapToGrid w:val="0"/>
              <w:jc w:val="left"/>
              <w:rPr>
                <w:rFonts w:ascii="宋体" w:hAnsi="宋体" w:eastAsia="宋体" w:cs="Calibri"/>
                <w:b/>
                <w:bCs/>
                <w:color w:val="000000"/>
                <w:kern w:val="2"/>
                <w:sz w:val="24"/>
                <w:szCs w:val="24"/>
              </w:rPr>
            </w:pPr>
          </w:p>
        </w:tc>
        <w:tc>
          <w:tcPr>
            <w:tcW w:w="247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2</w:t>
            </w:r>
            <w:r>
              <w:rPr>
                <w:rFonts w:hint="eastAsia" w:ascii="宋体" w:hAnsi="宋体" w:eastAsia="宋体" w:cs="宋体"/>
                <w:color w:val="000000"/>
                <w:kern w:val="2"/>
                <w:sz w:val="24"/>
                <w:szCs w:val="24"/>
              </w:rPr>
              <w:t>《我多想去看看》</w:t>
            </w:r>
          </w:p>
        </w:tc>
        <w:tc>
          <w:tcPr>
            <w:tcW w:w="720" w:type="dxa"/>
          </w:tcPr>
          <w:p>
            <w:pPr>
              <w:widowControl/>
              <w:adjustRightInd w:val="0"/>
              <w:snapToGrid w:val="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2</w:t>
            </w:r>
          </w:p>
        </w:tc>
        <w:tc>
          <w:tcPr>
            <w:tcW w:w="1050" w:type="dxa"/>
            <w:vMerge w:val="continue"/>
          </w:tcPr>
          <w:p>
            <w:pPr>
              <w:widowControl/>
              <w:adjustRightInd w:val="0"/>
              <w:snapToGrid w:val="0"/>
              <w:jc w:val="left"/>
              <w:rPr>
                <w:rFonts w:ascii="宋体" w:hAnsi="宋体" w:eastAsia="宋体" w:cs="Calibri"/>
                <w:b/>
                <w:bCs/>
                <w:color w:val="000000"/>
                <w:kern w:val="2"/>
                <w:sz w:val="24"/>
                <w:szCs w:val="24"/>
              </w:rPr>
            </w:pPr>
          </w:p>
        </w:tc>
        <w:tc>
          <w:tcPr>
            <w:tcW w:w="226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14</w:t>
            </w:r>
            <w:r>
              <w:rPr>
                <w:rFonts w:hint="eastAsia" w:ascii="宋体" w:hAnsi="宋体" w:eastAsia="宋体" w:cs="宋体"/>
                <w:color w:val="000000"/>
                <w:kern w:val="2"/>
                <w:sz w:val="24"/>
                <w:szCs w:val="24"/>
              </w:rPr>
              <w:t>《要下雨了》</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58" w:type="dxa"/>
            <w:vMerge w:val="continue"/>
          </w:tcPr>
          <w:p>
            <w:pPr>
              <w:widowControl/>
              <w:adjustRightInd w:val="0"/>
              <w:snapToGrid w:val="0"/>
              <w:jc w:val="left"/>
              <w:rPr>
                <w:rFonts w:ascii="宋体" w:hAnsi="宋体" w:eastAsia="宋体" w:cs="Calibri"/>
                <w:b/>
                <w:bCs/>
                <w:color w:val="000000"/>
                <w:kern w:val="2"/>
                <w:sz w:val="24"/>
                <w:szCs w:val="24"/>
              </w:rPr>
            </w:pPr>
          </w:p>
        </w:tc>
        <w:tc>
          <w:tcPr>
            <w:tcW w:w="2478" w:type="dxa"/>
            <w:vMerge w:val="restart"/>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3</w:t>
            </w:r>
            <w:r>
              <w:rPr>
                <w:rFonts w:hint="eastAsia" w:ascii="宋体" w:hAnsi="宋体" w:eastAsia="宋体" w:cs="宋体"/>
                <w:color w:val="000000"/>
                <w:kern w:val="2"/>
                <w:sz w:val="24"/>
                <w:szCs w:val="24"/>
              </w:rPr>
              <w:t>《一个接一个》</w:t>
            </w:r>
          </w:p>
        </w:tc>
        <w:tc>
          <w:tcPr>
            <w:tcW w:w="720" w:type="dxa"/>
            <w:vMerge w:val="restart"/>
          </w:tcPr>
          <w:p>
            <w:pPr>
              <w:widowControl/>
              <w:adjustRightInd w:val="0"/>
              <w:snapToGrid w:val="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2</w:t>
            </w:r>
          </w:p>
        </w:tc>
        <w:tc>
          <w:tcPr>
            <w:tcW w:w="1050" w:type="dxa"/>
            <w:vMerge w:val="continue"/>
          </w:tcPr>
          <w:p>
            <w:pPr>
              <w:widowControl/>
              <w:adjustRightInd w:val="0"/>
              <w:snapToGrid w:val="0"/>
              <w:jc w:val="left"/>
              <w:rPr>
                <w:rFonts w:ascii="宋体" w:hAnsi="宋体" w:eastAsia="宋体" w:cs="Calibri"/>
                <w:b/>
                <w:bCs/>
                <w:color w:val="000000"/>
                <w:kern w:val="2"/>
                <w:sz w:val="24"/>
                <w:szCs w:val="24"/>
              </w:rPr>
            </w:pPr>
          </w:p>
        </w:tc>
        <w:tc>
          <w:tcPr>
            <w:tcW w:w="226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语文园地六</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58" w:type="dxa"/>
            <w:vMerge w:val="continue"/>
          </w:tcPr>
          <w:p>
            <w:pPr>
              <w:widowControl/>
              <w:adjustRightInd w:val="0"/>
              <w:snapToGrid w:val="0"/>
              <w:jc w:val="left"/>
            </w:pPr>
          </w:p>
        </w:tc>
        <w:tc>
          <w:tcPr>
            <w:tcW w:w="2478" w:type="dxa"/>
            <w:vMerge w:val="continue"/>
          </w:tcPr>
          <w:p>
            <w:pPr>
              <w:widowControl/>
              <w:adjustRightInd w:val="0"/>
              <w:snapToGrid w:val="0"/>
              <w:jc w:val="left"/>
            </w:pPr>
          </w:p>
        </w:tc>
        <w:tc>
          <w:tcPr>
            <w:tcW w:w="720" w:type="dxa"/>
            <w:vMerge w:val="continue"/>
          </w:tcPr>
          <w:p>
            <w:pPr>
              <w:widowControl/>
              <w:adjustRightInd w:val="0"/>
              <w:snapToGrid w:val="0"/>
              <w:jc w:val="left"/>
            </w:pPr>
          </w:p>
        </w:tc>
        <w:tc>
          <w:tcPr>
            <w:tcW w:w="1050" w:type="dxa"/>
            <w:vMerge w:val="continue"/>
          </w:tcPr>
          <w:p>
            <w:pPr>
              <w:widowControl/>
              <w:adjustRightInd w:val="0"/>
              <w:snapToGrid w:val="0"/>
              <w:jc w:val="left"/>
            </w:pPr>
          </w:p>
        </w:tc>
        <w:tc>
          <w:tcPr>
            <w:tcW w:w="2268" w:type="dxa"/>
            <w:vAlign w:val="top"/>
          </w:tcPr>
          <w:p>
            <w:pPr>
              <w:widowControl/>
              <w:adjustRightInd w:val="0"/>
              <w:snapToGrid w:val="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复习检测</w:t>
            </w:r>
          </w:p>
        </w:tc>
        <w:tc>
          <w:tcPr>
            <w:tcW w:w="748" w:type="dxa"/>
            <w:vAlign w:val="top"/>
          </w:tcPr>
          <w:p>
            <w:pPr>
              <w:widowControl/>
              <w:adjustRightInd w:val="0"/>
              <w:snapToGrid w:val="0"/>
              <w:ind w:firstLine="240" w:firstLineChars="1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tcPr>
          <w:p>
            <w:pPr>
              <w:widowControl/>
              <w:adjustRightInd w:val="0"/>
              <w:snapToGrid w:val="0"/>
              <w:jc w:val="left"/>
              <w:rPr>
                <w:rFonts w:ascii="宋体" w:hAnsi="宋体" w:eastAsia="宋体" w:cs="Calibri"/>
                <w:b/>
                <w:bCs/>
                <w:color w:val="000000"/>
                <w:kern w:val="2"/>
                <w:sz w:val="24"/>
                <w:szCs w:val="24"/>
              </w:rPr>
            </w:pPr>
          </w:p>
        </w:tc>
        <w:tc>
          <w:tcPr>
            <w:tcW w:w="247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4</w:t>
            </w:r>
            <w:r>
              <w:rPr>
                <w:rFonts w:hint="eastAsia" w:ascii="宋体" w:hAnsi="宋体" w:eastAsia="宋体" w:cs="宋体"/>
                <w:color w:val="000000"/>
                <w:kern w:val="2"/>
                <w:sz w:val="24"/>
                <w:szCs w:val="24"/>
              </w:rPr>
              <w:t>《四个太阳》</w:t>
            </w:r>
          </w:p>
        </w:tc>
        <w:tc>
          <w:tcPr>
            <w:tcW w:w="720" w:type="dxa"/>
          </w:tcPr>
          <w:p>
            <w:pPr>
              <w:widowControl/>
              <w:adjustRightInd w:val="0"/>
              <w:snapToGrid w:val="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2</w:t>
            </w:r>
          </w:p>
        </w:tc>
        <w:tc>
          <w:tcPr>
            <w:tcW w:w="1050" w:type="dxa"/>
            <w:vMerge w:val="restart"/>
          </w:tcPr>
          <w:p>
            <w:pPr>
              <w:widowControl/>
              <w:adjustRightInd w:val="0"/>
              <w:snapToGrid w:val="0"/>
              <w:jc w:val="left"/>
              <w:rPr>
                <w:rFonts w:ascii="宋体" w:hAnsi="宋体" w:eastAsia="宋体" w:cs="Calibri"/>
                <w:color w:val="000000"/>
                <w:kern w:val="2"/>
                <w:sz w:val="24"/>
                <w:szCs w:val="24"/>
              </w:rPr>
            </w:pPr>
            <w:r>
              <w:rPr>
                <w:rFonts w:hint="eastAsia" w:ascii="宋体" w:hAnsi="宋体" w:eastAsia="宋体" w:cs="宋体"/>
                <w:color w:val="000000"/>
                <w:kern w:val="2"/>
                <w:sz w:val="24"/>
                <w:szCs w:val="24"/>
              </w:rPr>
              <w:t>第七组</w:t>
            </w:r>
          </w:p>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宋体"/>
                <w:b/>
                <w:bCs/>
                <w:color w:val="000000"/>
                <w:kern w:val="2"/>
                <w:sz w:val="24"/>
                <w:szCs w:val="24"/>
              </w:rPr>
              <w:t>好习惯</w:t>
            </w:r>
          </w:p>
        </w:tc>
        <w:tc>
          <w:tcPr>
            <w:tcW w:w="226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15</w:t>
            </w:r>
            <w:r>
              <w:rPr>
                <w:rFonts w:hint="eastAsia" w:ascii="宋体" w:hAnsi="宋体" w:eastAsia="宋体" w:cs="宋体"/>
                <w:color w:val="000000"/>
                <w:kern w:val="2"/>
                <w:sz w:val="24"/>
                <w:szCs w:val="24"/>
              </w:rPr>
              <w:t>《文具的家》</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58" w:type="dxa"/>
            <w:vMerge w:val="continue"/>
          </w:tcPr>
          <w:p>
            <w:pPr>
              <w:widowControl/>
              <w:adjustRightInd w:val="0"/>
              <w:snapToGrid w:val="0"/>
              <w:jc w:val="left"/>
              <w:rPr>
                <w:rFonts w:ascii="宋体" w:hAnsi="宋体" w:eastAsia="宋体" w:cs="Calibri"/>
                <w:b/>
                <w:bCs/>
                <w:color w:val="000000"/>
                <w:kern w:val="2"/>
                <w:sz w:val="24"/>
                <w:szCs w:val="24"/>
              </w:rPr>
            </w:pPr>
          </w:p>
        </w:tc>
        <w:tc>
          <w:tcPr>
            <w:tcW w:w="247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语文园地二</w:t>
            </w:r>
          </w:p>
        </w:tc>
        <w:tc>
          <w:tcPr>
            <w:tcW w:w="720" w:type="dxa"/>
          </w:tcPr>
          <w:p>
            <w:pPr>
              <w:widowControl/>
              <w:adjustRightInd w:val="0"/>
              <w:snapToGrid w:val="0"/>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3</w:t>
            </w:r>
          </w:p>
        </w:tc>
        <w:tc>
          <w:tcPr>
            <w:tcW w:w="1050" w:type="dxa"/>
            <w:vMerge w:val="continue"/>
          </w:tcPr>
          <w:p>
            <w:pPr>
              <w:widowControl/>
              <w:adjustRightInd w:val="0"/>
              <w:snapToGrid w:val="0"/>
              <w:jc w:val="left"/>
              <w:rPr>
                <w:rFonts w:ascii="宋体" w:hAnsi="宋体" w:eastAsia="宋体" w:cs="Calibri"/>
                <w:b/>
                <w:bCs/>
                <w:color w:val="000000"/>
                <w:kern w:val="2"/>
                <w:sz w:val="24"/>
                <w:szCs w:val="24"/>
              </w:rPr>
            </w:pPr>
          </w:p>
        </w:tc>
        <w:tc>
          <w:tcPr>
            <w:tcW w:w="2268" w:type="dxa"/>
            <w:vMerge w:val="restart"/>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16</w:t>
            </w:r>
            <w:r>
              <w:rPr>
                <w:rFonts w:hint="eastAsia" w:ascii="宋体" w:hAnsi="宋体" w:eastAsia="宋体" w:cs="宋体"/>
                <w:color w:val="000000"/>
                <w:kern w:val="2"/>
                <w:sz w:val="24"/>
                <w:szCs w:val="24"/>
              </w:rPr>
              <w:t>《一分钟》</w:t>
            </w:r>
          </w:p>
        </w:tc>
        <w:tc>
          <w:tcPr>
            <w:tcW w:w="748" w:type="dxa"/>
            <w:vMerge w:val="restart"/>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58" w:type="dxa"/>
            <w:vMerge w:val="continue"/>
          </w:tcPr>
          <w:p>
            <w:pPr>
              <w:widowControl/>
              <w:adjustRightInd w:val="0"/>
              <w:snapToGrid w:val="0"/>
              <w:jc w:val="left"/>
            </w:pPr>
          </w:p>
        </w:tc>
        <w:tc>
          <w:tcPr>
            <w:tcW w:w="2478" w:type="dxa"/>
            <w:vAlign w:val="top"/>
          </w:tcPr>
          <w:p>
            <w:pPr>
              <w:widowControl/>
              <w:adjustRightInd w:val="0"/>
              <w:snapToGrid w:val="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复习检测</w:t>
            </w:r>
          </w:p>
        </w:tc>
        <w:tc>
          <w:tcPr>
            <w:tcW w:w="720" w:type="dxa"/>
            <w:vAlign w:val="top"/>
          </w:tcPr>
          <w:p>
            <w:pPr>
              <w:widowControl/>
              <w:adjustRightInd w:val="0"/>
              <w:snapToGrid w:val="0"/>
              <w:ind w:firstLine="240" w:firstLineChars="1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3</w:t>
            </w:r>
          </w:p>
        </w:tc>
        <w:tc>
          <w:tcPr>
            <w:tcW w:w="1050" w:type="dxa"/>
            <w:vMerge w:val="continue"/>
          </w:tcPr>
          <w:p>
            <w:pPr>
              <w:widowControl/>
              <w:adjustRightInd w:val="0"/>
              <w:snapToGrid w:val="0"/>
              <w:jc w:val="left"/>
              <w:rPr>
                <w:rFonts w:hint="eastAsia" w:ascii="宋体" w:hAnsi="宋体" w:eastAsia="宋体" w:cs="宋体"/>
                <w:color w:val="000000"/>
                <w:kern w:val="2"/>
                <w:sz w:val="24"/>
                <w:szCs w:val="24"/>
              </w:rPr>
            </w:pPr>
          </w:p>
        </w:tc>
        <w:tc>
          <w:tcPr>
            <w:tcW w:w="2268" w:type="dxa"/>
            <w:vMerge w:val="continue"/>
          </w:tcPr>
          <w:p>
            <w:pPr>
              <w:widowControl/>
              <w:adjustRightInd w:val="0"/>
              <w:snapToGrid w:val="0"/>
              <w:jc w:val="left"/>
              <w:rPr>
                <w:rFonts w:hint="eastAsia" w:ascii="宋体" w:hAnsi="宋体" w:eastAsia="宋体" w:cs="宋体"/>
                <w:color w:val="000000"/>
                <w:kern w:val="2"/>
                <w:sz w:val="24"/>
                <w:szCs w:val="24"/>
              </w:rPr>
            </w:pPr>
          </w:p>
        </w:tc>
        <w:tc>
          <w:tcPr>
            <w:tcW w:w="748" w:type="dxa"/>
            <w:vMerge w:val="continue"/>
          </w:tcPr>
          <w:p>
            <w:pPr>
              <w:widowControl/>
              <w:adjustRightInd w:val="0"/>
              <w:snapToGrid w:val="0"/>
              <w:jc w:val="left"/>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restart"/>
          </w:tcPr>
          <w:p>
            <w:pPr>
              <w:widowControl/>
              <w:adjustRightInd w:val="0"/>
              <w:snapToGrid w:val="0"/>
              <w:jc w:val="left"/>
              <w:rPr>
                <w:rFonts w:ascii="宋体" w:hAnsi="宋体" w:eastAsia="宋体" w:cs="Calibri"/>
                <w:color w:val="000000"/>
                <w:kern w:val="2"/>
                <w:sz w:val="24"/>
                <w:szCs w:val="24"/>
              </w:rPr>
            </w:pPr>
            <w:r>
              <w:rPr>
                <w:rFonts w:hint="eastAsia" w:ascii="宋体" w:hAnsi="宋体" w:eastAsia="宋体" w:cs="宋体"/>
                <w:color w:val="000000"/>
                <w:kern w:val="2"/>
                <w:sz w:val="24"/>
                <w:szCs w:val="24"/>
              </w:rPr>
              <w:t>第三组</w:t>
            </w:r>
          </w:p>
          <w:p>
            <w:pPr>
              <w:widowControl/>
              <w:adjustRightInd w:val="0"/>
              <w:snapToGrid w:val="0"/>
              <w:ind w:firstLine="241" w:firstLineChars="100"/>
              <w:jc w:val="left"/>
              <w:rPr>
                <w:rFonts w:ascii="宋体" w:hAnsi="宋体" w:eastAsia="宋体" w:cs="Calibri"/>
                <w:b/>
                <w:bCs/>
                <w:color w:val="000000"/>
                <w:kern w:val="2"/>
                <w:sz w:val="24"/>
                <w:szCs w:val="24"/>
              </w:rPr>
            </w:pPr>
            <w:r>
              <w:rPr>
                <w:rFonts w:hint="eastAsia" w:ascii="宋体" w:hAnsi="宋体" w:eastAsia="宋体" w:cs="宋体"/>
                <w:b/>
                <w:bCs/>
                <w:color w:val="000000"/>
                <w:kern w:val="2"/>
                <w:sz w:val="24"/>
                <w:szCs w:val="24"/>
              </w:rPr>
              <w:t>伙伴</w:t>
            </w:r>
          </w:p>
        </w:tc>
        <w:tc>
          <w:tcPr>
            <w:tcW w:w="247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5</w:t>
            </w:r>
            <w:r>
              <w:rPr>
                <w:rFonts w:hint="eastAsia" w:ascii="宋体" w:hAnsi="宋体" w:eastAsia="宋体" w:cs="宋体"/>
                <w:color w:val="000000"/>
                <w:kern w:val="2"/>
                <w:sz w:val="24"/>
                <w:szCs w:val="24"/>
              </w:rPr>
              <w:t>《小公鸡和小鸭子》</w:t>
            </w:r>
          </w:p>
        </w:tc>
        <w:tc>
          <w:tcPr>
            <w:tcW w:w="720"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c>
          <w:tcPr>
            <w:tcW w:w="1050" w:type="dxa"/>
            <w:vMerge w:val="continue"/>
          </w:tcPr>
          <w:p>
            <w:pPr>
              <w:widowControl/>
              <w:adjustRightInd w:val="0"/>
              <w:snapToGrid w:val="0"/>
              <w:jc w:val="left"/>
              <w:rPr>
                <w:rFonts w:ascii="宋体" w:hAnsi="宋体" w:eastAsia="宋体" w:cs="Calibri"/>
                <w:b/>
                <w:bCs/>
                <w:color w:val="000000"/>
                <w:kern w:val="2"/>
                <w:sz w:val="24"/>
                <w:szCs w:val="24"/>
              </w:rPr>
            </w:pPr>
          </w:p>
        </w:tc>
        <w:tc>
          <w:tcPr>
            <w:tcW w:w="226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17</w:t>
            </w:r>
            <w:r>
              <w:rPr>
                <w:rFonts w:hint="eastAsia" w:ascii="宋体" w:hAnsi="宋体" w:eastAsia="宋体" w:cs="宋体"/>
                <w:color w:val="000000"/>
                <w:kern w:val="2"/>
                <w:sz w:val="24"/>
                <w:szCs w:val="24"/>
              </w:rPr>
              <w:t>《动物王国开大会》</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tcPr>
          <w:p>
            <w:pPr>
              <w:widowControl/>
              <w:adjustRightInd w:val="0"/>
              <w:snapToGrid w:val="0"/>
              <w:jc w:val="left"/>
              <w:rPr>
                <w:rFonts w:ascii="宋体" w:hAnsi="宋体" w:eastAsia="宋体" w:cs="Calibri"/>
                <w:b/>
                <w:bCs/>
                <w:color w:val="000000"/>
                <w:kern w:val="2"/>
                <w:sz w:val="24"/>
                <w:szCs w:val="24"/>
              </w:rPr>
            </w:pPr>
          </w:p>
        </w:tc>
        <w:tc>
          <w:tcPr>
            <w:tcW w:w="247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6</w:t>
            </w:r>
            <w:r>
              <w:rPr>
                <w:rFonts w:hint="eastAsia" w:ascii="宋体" w:hAnsi="宋体" w:eastAsia="宋体" w:cs="宋体"/>
                <w:color w:val="000000"/>
                <w:kern w:val="2"/>
                <w:sz w:val="24"/>
                <w:szCs w:val="24"/>
              </w:rPr>
              <w:t>《树和喜鹊》</w:t>
            </w:r>
          </w:p>
        </w:tc>
        <w:tc>
          <w:tcPr>
            <w:tcW w:w="720"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c>
          <w:tcPr>
            <w:tcW w:w="1050" w:type="dxa"/>
            <w:vMerge w:val="continue"/>
          </w:tcPr>
          <w:p>
            <w:pPr>
              <w:widowControl/>
              <w:adjustRightInd w:val="0"/>
              <w:snapToGrid w:val="0"/>
              <w:jc w:val="left"/>
              <w:rPr>
                <w:rFonts w:ascii="宋体" w:hAnsi="宋体" w:eastAsia="宋体" w:cs="Calibri"/>
                <w:b/>
                <w:bCs/>
                <w:color w:val="000000"/>
                <w:kern w:val="2"/>
                <w:sz w:val="24"/>
                <w:szCs w:val="24"/>
              </w:rPr>
            </w:pPr>
          </w:p>
        </w:tc>
        <w:tc>
          <w:tcPr>
            <w:tcW w:w="226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18</w:t>
            </w:r>
            <w:r>
              <w:rPr>
                <w:rFonts w:hint="eastAsia" w:ascii="宋体" w:hAnsi="宋体" w:eastAsia="宋体" w:cs="宋体"/>
                <w:color w:val="000000"/>
                <w:kern w:val="2"/>
                <w:sz w:val="24"/>
                <w:szCs w:val="24"/>
              </w:rPr>
              <w:t>《小猴子下山》</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tcPr>
          <w:p>
            <w:pPr>
              <w:widowControl/>
              <w:adjustRightInd w:val="0"/>
              <w:snapToGrid w:val="0"/>
              <w:jc w:val="left"/>
              <w:rPr>
                <w:rFonts w:ascii="宋体" w:hAnsi="宋体" w:eastAsia="宋体" w:cs="Calibri"/>
                <w:b/>
                <w:bCs/>
                <w:color w:val="000000"/>
                <w:kern w:val="2"/>
                <w:sz w:val="24"/>
                <w:szCs w:val="24"/>
              </w:rPr>
            </w:pPr>
          </w:p>
        </w:tc>
        <w:tc>
          <w:tcPr>
            <w:tcW w:w="247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7</w:t>
            </w:r>
            <w:r>
              <w:rPr>
                <w:rFonts w:hint="eastAsia" w:ascii="宋体" w:hAnsi="宋体" w:eastAsia="宋体" w:cs="宋体"/>
                <w:color w:val="000000"/>
                <w:kern w:val="2"/>
                <w:sz w:val="24"/>
                <w:szCs w:val="24"/>
              </w:rPr>
              <w:t>《怎么都快乐》</w:t>
            </w:r>
          </w:p>
        </w:tc>
        <w:tc>
          <w:tcPr>
            <w:tcW w:w="720"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c>
          <w:tcPr>
            <w:tcW w:w="1050" w:type="dxa"/>
            <w:vMerge w:val="continue"/>
          </w:tcPr>
          <w:p>
            <w:pPr>
              <w:widowControl/>
              <w:adjustRightInd w:val="0"/>
              <w:snapToGrid w:val="0"/>
              <w:jc w:val="left"/>
              <w:rPr>
                <w:rFonts w:ascii="宋体" w:hAnsi="宋体" w:eastAsia="宋体" w:cs="Calibri"/>
                <w:b/>
                <w:bCs/>
                <w:color w:val="000000"/>
                <w:kern w:val="2"/>
                <w:sz w:val="24"/>
                <w:szCs w:val="24"/>
              </w:rPr>
            </w:pPr>
          </w:p>
        </w:tc>
        <w:tc>
          <w:tcPr>
            <w:tcW w:w="226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口语交际：一起做游戏</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58" w:type="dxa"/>
            <w:vMerge w:val="continue"/>
          </w:tcPr>
          <w:p>
            <w:pPr>
              <w:widowControl/>
              <w:adjustRightInd w:val="0"/>
              <w:snapToGrid w:val="0"/>
              <w:jc w:val="left"/>
              <w:rPr>
                <w:rFonts w:ascii="宋体" w:hAnsi="宋体" w:eastAsia="宋体" w:cs="Calibri"/>
                <w:b/>
                <w:bCs/>
                <w:color w:val="000000"/>
                <w:kern w:val="2"/>
                <w:sz w:val="24"/>
                <w:szCs w:val="24"/>
              </w:rPr>
            </w:pPr>
          </w:p>
        </w:tc>
        <w:tc>
          <w:tcPr>
            <w:tcW w:w="2478" w:type="dxa"/>
            <w:vMerge w:val="restart"/>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口语交际：请你帮个忙</w:t>
            </w:r>
          </w:p>
        </w:tc>
        <w:tc>
          <w:tcPr>
            <w:tcW w:w="720" w:type="dxa"/>
            <w:vMerge w:val="restart"/>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1</w:t>
            </w:r>
          </w:p>
        </w:tc>
        <w:tc>
          <w:tcPr>
            <w:tcW w:w="1050" w:type="dxa"/>
            <w:vMerge w:val="continue"/>
          </w:tcPr>
          <w:p>
            <w:pPr>
              <w:widowControl/>
              <w:adjustRightInd w:val="0"/>
              <w:snapToGrid w:val="0"/>
              <w:jc w:val="left"/>
              <w:rPr>
                <w:rFonts w:ascii="宋体" w:hAnsi="宋体" w:eastAsia="宋体" w:cs="Calibri"/>
                <w:b/>
                <w:bCs/>
                <w:color w:val="000000"/>
                <w:kern w:val="2"/>
                <w:sz w:val="24"/>
                <w:szCs w:val="24"/>
              </w:rPr>
            </w:pPr>
          </w:p>
        </w:tc>
        <w:tc>
          <w:tcPr>
            <w:tcW w:w="226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语文园地七</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58" w:type="dxa"/>
            <w:vMerge w:val="continue"/>
          </w:tcPr>
          <w:p>
            <w:pPr>
              <w:widowControl/>
              <w:adjustRightInd w:val="0"/>
              <w:snapToGrid w:val="0"/>
              <w:jc w:val="left"/>
            </w:pPr>
          </w:p>
        </w:tc>
        <w:tc>
          <w:tcPr>
            <w:tcW w:w="2478" w:type="dxa"/>
            <w:vMerge w:val="continue"/>
          </w:tcPr>
          <w:p>
            <w:pPr>
              <w:widowControl/>
              <w:adjustRightInd w:val="0"/>
              <w:snapToGrid w:val="0"/>
              <w:jc w:val="left"/>
            </w:pPr>
          </w:p>
        </w:tc>
        <w:tc>
          <w:tcPr>
            <w:tcW w:w="720" w:type="dxa"/>
            <w:vMerge w:val="continue"/>
          </w:tcPr>
          <w:p>
            <w:pPr>
              <w:widowControl/>
              <w:adjustRightInd w:val="0"/>
              <w:snapToGrid w:val="0"/>
              <w:jc w:val="left"/>
            </w:pPr>
          </w:p>
        </w:tc>
        <w:tc>
          <w:tcPr>
            <w:tcW w:w="1050" w:type="dxa"/>
            <w:vMerge w:val="continue"/>
          </w:tcPr>
          <w:p>
            <w:pPr>
              <w:widowControl/>
              <w:adjustRightInd w:val="0"/>
              <w:snapToGrid w:val="0"/>
              <w:jc w:val="left"/>
            </w:pPr>
          </w:p>
        </w:tc>
        <w:tc>
          <w:tcPr>
            <w:tcW w:w="2268" w:type="dxa"/>
            <w:vAlign w:val="top"/>
          </w:tcPr>
          <w:p>
            <w:pPr>
              <w:widowControl/>
              <w:adjustRightInd w:val="0"/>
              <w:snapToGrid w:val="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复习检测</w:t>
            </w:r>
          </w:p>
        </w:tc>
        <w:tc>
          <w:tcPr>
            <w:tcW w:w="748" w:type="dxa"/>
            <w:vAlign w:val="top"/>
          </w:tcPr>
          <w:p>
            <w:pPr>
              <w:widowControl/>
              <w:adjustRightInd w:val="0"/>
              <w:snapToGrid w:val="0"/>
              <w:ind w:firstLine="240" w:firstLineChars="1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58" w:type="dxa"/>
            <w:vMerge w:val="continue"/>
          </w:tcPr>
          <w:p>
            <w:pPr>
              <w:widowControl/>
              <w:adjustRightInd w:val="0"/>
              <w:snapToGrid w:val="0"/>
              <w:jc w:val="left"/>
              <w:rPr>
                <w:rFonts w:ascii="宋体" w:hAnsi="宋体" w:eastAsia="宋体" w:cs="Calibri"/>
                <w:b/>
                <w:bCs/>
                <w:color w:val="000000"/>
                <w:kern w:val="2"/>
                <w:sz w:val="24"/>
                <w:szCs w:val="24"/>
              </w:rPr>
            </w:pPr>
          </w:p>
        </w:tc>
        <w:tc>
          <w:tcPr>
            <w:tcW w:w="2478" w:type="dxa"/>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语文园地三</w:t>
            </w:r>
          </w:p>
        </w:tc>
        <w:tc>
          <w:tcPr>
            <w:tcW w:w="720"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3</w:t>
            </w:r>
          </w:p>
        </w:tc>
        <w:tc>
          <w:tcPr>
            <w:tcW w:w="1050" w:type="dxa"/>
            <w:vMerge w:val="restart"/>
          </w:tcPr>
          <w:p>
            <w:pPr>
              <w:widowControl/>
              <w:adjustRightInd w:val="0"/>
              <w:snapToGrid w:val="0"/>
              <w:jc w:val="left"/>
              <w:rPr>
                <w:rFonts w:ascii="宋体" w:hAnsi="宋体" w:eastAsia="宋体" w:cs="Calibri"/>
                <w:color w:val="000000"/>
                <w:kern w:val="2"/>
                <w:sz w:val="24"/>
                <w:szCs w:val="24"/>
              </w:rPr>
            </w:pPr>
            <w:r>
              <w:rPr>
                <w:rFonts w:hint="eastAsia" w:ascii="宋体" w:hAnsi="宋体" w:eastAsia="宋体" w:cs="宋体"/>
                <w:color w:val="000000"/>
                <w:kern w:val="2"/>
                <w:sz w:val="24"/>
                <w:szCs w:val="24"/>
              </w:rPr>
              <w:t>第八组</w:t>
            </w:r>
          </w:p>
          <w:p>
            <w:pPr>
              <w:widowControl/>
              <w:adjustRightInd w:val="0"/>
              <w:snapToGrid w:val="0"/>
              <w:ind w:firstLine="241" w:firstLineChars="100"/>
              <w:jc w:val="left"/>
              <w:rPr>
                <w:rFonts w:ascii="宋体" w:hAnsi="宋体" w:eastAsia="宋体" w:cs="Calibri"/>
                <w:b/>
                <w:bCs/>
                <w:color w:val="000000"/>
                <w:kern w:val="2"/>
                <w:sz w:val="24"/>
                <w:szCs w:val="24"/>
              </w:rPr>
            </w:pPr>
            <w:r>
              <w:rPr>
                <w:rFonts w:hint="eastAsia" w:ascii="宋体" w:hAnsi="宋体" w:eastAsia="宋体" w:cs="宋体"/>
                <w:b/>
                <w:bCs/>
                <w:color w:val="000000"/>
                <w:kern w:val="2"/>
                <w:sz w:val="24"/>
                <w:szCs w:val="24"/>
              </w:rPr>
              <w:t>问号</w:t>
            </w:r>
          </w:p>
        </w:tc>
        <w:tc>
          <w:tcPr>
            <w:tcW w:w="2268" w:type="dxa"/>
            <w:vMerge w:val="restart"/>
          </w:tcPr>
          <w:p>
            <w:pPr>
              <w:widowControl/>
              <w:adjustRightInd w:val="0"/>
              <w:snapToGrid w:val="0"/>
              <w:jc w:val="left"/>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19</w:t>
            </w:r>
            <w:r>
              <w:rPr>
                <w:rFonts w:hint="eastAsia" w:ascii="宋体" w:hAnsi="宋体" w:eastAsia="宋体" w:cs="宋体"/>
                <w:color w:val="000000"/>
                <w:kern w:val="2"/>
                <w:sz w:val="24"/>
                <w:szCs w:val="24"/>
              </w:rPr>
              <w:t>《棉花姑娘》</w:t>
            </w:r>
          </w:p>
        </w:tc>
        <w:tc>
          <w:tcPr>
            <w:tcW w:w="748" w:type="dxa"/>
            <w:vMerge w:val="restart"/>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58" w:type="dxa"/>
            <w:vMerge w:val="continue"/>
          </w:tcPr>
          <w:p>
            <w:pPr>
              <w:widowControl/>
              <w:adjustRightInd w:val="0"/>
              <w:snapToGrid w:val="0"/>
              <w:jc w:val="left"/>
            </w:pPr>
          </w:p>
        </w:tc>
        <w:tc>
          <w:tcPr>
            <w:tcW w:w="2478" w:type="dxa"/>
            <w:vAlign w:val="top"/>
          </w:tcPr>
          <w:p>
            <w:pPr>
              <w:widowControl/>
              <w:adjustRightInd w:val="0"/>
              <w:snapToGrid w:val="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复习检测</w:t>
            </w:r>
          </w:p>
        </w:tc>
        <w:tc>
          <w:tcPr>
            <w:tcW w:w="720" w:type="dxa"/>
            <w:vAlign w:val="top"/>
          </w:tcPr>
          <w:p>
            <w:pPr>
              <w:widowControl/>
              <w:adjustRightInd w:val="0"/>
              <w:snapToGrid w:val="0"/>
              <w:ind w:firstLine="240" w:firstLineChars="1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3</w:t>
            </w:r>
          </w:p>
        </w:tc>
        <w:tc>
          <w:tcPr>
            <w:tcW w:w="1050" w:type="dxa"/>
            <w:vMerge w:val="continue"/>
          </w:tcPr>
          <w:p>
            <w:pPr>
              <w:widowControl/>
              <w:adjustRightInd w:val="0"/>
              <w:snapToGrid w:val="0"/>
              <w:jc w:val="left"/>
              <w:rPr>
                <w:rFonts w:hint="eastAsia" w:ascii="宋体" w:hAnsi="宋体" w:eastAsia="宋体" w:cs="宋体"/>
                <w:color w:val="000000"/>
                <w:kern w:val="2"/>
                <w:sz w:val="24"/>
                <w:szCs w:val="24"/>
              </w:rPr>
            </w:pPr>
          </w:p>
        </w:tc>
        <w:tc>
          <w:tcPr>
            <w:tcW w:w="2268" w:type="dxa"/>
            <w:vMerge w:val="continue"/>
          </w:tcPr>
          <w:p>
            <w:pPr>
              <w:widowControl/>
              <w:adjustRightInd w:val="0"/>
              <w:snapToGrid w:val="0"/>
              <w:jc w:val="left"/>
              <w:rPr>
                <w:rFonts w:hint="eastAsia" w:ascii="宋体" w:hAnsi="宋体" w:eastAsia="宋体" w:cs="宋体"/>
                <w:color w:val="000000"/>
                <w:kern w:val="2"/>
                <w:sz w:val="24"/>
                <w:szCs w:val="24"/>
              </w:rPr>
            </w:pPr>
          </w:p>
        </w:tc>
        <w:tc>
          <w:tcPr>
            <w:tcW w:w="748" w:type="dxa"/>
            <w:vMerge w:val="continue"/>
          </w:tcPr>
          <w:p>
            <w:pPr>
              <w:widowControl/>
              <w:adjustRightInd w:val="0"/>
              <w:snapToGrid w:val="0"/>
              <w:jc w:val="left"/>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restart"/>
          </w:tcPr>
          <w:p>
            <w:pPr>
              <w:widowControl/>
              <w:adjustRightInd w:val="0"/>
              <w:snapToGrid w:val="0"/>
              <w:rPr>
                <w:rFonts w:ascii="宋体" w:hAnsi="宋体" w:eastAsia="宋体" w:cs="Calibri"/>
                <w:color w:val="000000"/>
                <w:kern w:val="2"/>
                <w:sz w:val="24"/>
                <w:szCs w:val="24"/>
              </w:rPr>
            </w:pPr>
            <w:r>
              <w:rPr>
                <w:rFonts w:hint="eastAsia" w:ascii="宋体" w:hAnsi="宋体" w:eastAsia="宋体" w:cs="宋体"/>
                <w:color w:val="000000"/>
                <w:kern w:val="2"/>
                <w:sz w:val="24"/>
                <w:szCs w:val="24"/>
              </w:rPr>
              <w:t>第四组</w:t>
            </w:r>
          </w:p>
          <w:p>
            <w:pPr>
              <w:widowControl/>
              <w:adjustRightInd w:val="0"/>
              <w:snapToGrid w:val="0"/>
              <w:ind w:firstLine="241" w:firstLineChars="100"/>
              <w:rPr>
                <w:rFonts w:ascii="宋体" w:hAnsi="宋体" w:eastAsia="宋体" w:cs="Calibri"/>
                <w:b/>
                <w:bCs/>
                <w:color w:val="000000"/>
                <w:kern w:val="2"/>
                <w:sz w:val="24"/>
                <w:szCs w:val="24"/>
              </w:rPr>
            </w:pPr>
            <w:r>
              <w:rPr>
                <w:rFonts w:hint="eastAsia" w:ascii="宋体" w:hAnsi="宋体" w:eastAsia="宋体" w:cs="宋体"/>
                <w:b/>
                <w:bCs/>
                <w:color w:val="000000"/>
                <w:kern w:val="2"/>
                <w:sz w:val="24"/>
                <w:szCs w:val="24"/>
              </w:rPr>
              <w:t>家人</w:t>
            </w:r>
          </w:p>
        </w:tc>
        <w:tc>
          <w:tcPr>
            <w:tcW w:w="2478" w:type="dxa"/>
          </w:tcPr>
          <w:p>
            <w:pPr>
              <w:widowControl/>
              <w:adjustRightInd w:val="0"/>
              <w:snapToGrid w:val="0"/>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8</w:t>
            </w:r>
            <w:r>
              <w:rPr>
                <w:rFonts w:hint="eastAsia" w:ascii="宋体" w:hAnsi="宋体" w:eastAsia="宋体" w:cs="宋体"/>
                <w:color w:val="000000"/>
                <w:kern w:val="2"/>
                <w:sz w:val="24"/>
                <w:szCs w:val="24"/>
              </w:rPr>
              <w:t>《静夜思》</w:t>
            </w:r>
          </w:p>
        </w:tc>
        <w:tc>
          <w:tcPr>
            <w:tcW w:w="720"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c>
          <w:tcPr>
            <w:tcW w:w="1050" w:type="dxa"/>
            <w:vMerge w:val="continue"/>
          </w:tcPr>
          <w:p>
            <w:pPr>
              <w:widowControl/>
              <w:adjustRightInd w:val="0"/>
              <w:snapToGrid w:val="0"/>
              <w:rPr>
                <w:rFonts w:ascii="宋体" w:hAnsi="宋体" w:eastAsia="宋体" w:cs="Calibri"/>
                <w:b/>
                <w:bCs/>
                <w:color w:val="000000"/>
                <w:kern w:val="2"/>
                <w:sz w:val="24"/>
                <w:szCs w:val="24"/>
              </w:rPr>
            </w:pPr>
          </w:p>
        </w:tc>
        <w:tc>
          <w:tcPr>
            <w:tcW w:w="2268" w:type="dxa"/>
          </w:tcPr>
          <w:p>
            <w:pPr>
              <w:widowControl/>
              <w:adjustRightInd w:val="0"/>
              <w:snapToGrid w:val="0"/>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20</w:t>
            </w:r>
            <w:r>
              <w:rPr>
                <w:rFonts w:hint="eastAsia" w:ascii="宋体" w:hAnsi="宋体" w:eastAsia="宋体" w:cs="宋体"/>
                <w:color w:val="000000"/>
                <w:kern w:val="2"/>
                <w:sz w:val="24"/>
                <w:szCs w:val="24"/>
              </w:rPr>
              <w:t>《咕咚》</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tcPr>
          <w:p>
            <w:pPr>
              <w:widowControl/>
              <w:adjustRightInd w:val="0"/>
              <w:snapToGrid w:val="0"/>
              <w:rPr>
                <w:rFonts w:ascii="宋体" w:hAnsi="宋体" w:eastAsia="宋体" w:cs="Calibri"/>
                <w:b/>
                <w:bCs/>
                <w:color w:val="000000"/>
                <w:kern w:val="2"/>
                <w:sz w:val="24"/>
                <w:szCs w:val="24"/>
              </w:rPr>
            </w:pPr>
          </w:p>
        </w:tc>
        <w:tc>
          <w:tcPr>
            <w:tcW w:w="2478" w:type="dxa"/>
          </w:tcPr>
          <w:p>
            <w:pPr>
              <w:widowControl/>
              <w:adjustRightInd w:val="0"/>
              <w:snapToGrid w:val="0"/>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9</w:t>
            </w:r>
            <w:r>
              <w:rPr>
                <w:rFonts w:hint="eastAsia" w:ascii="宋体" w:hAnsi="宋体" w:eastAsia="宋体" w:cs="宋体"/>
                <w:color w:val="000000"/>
                <w:kern w:val="2"/>
                <w:sz w:val="24"/>
                <w:szCs w:val="24"/>
              </w:rPr>
              <w:t>《夜色》</w:t>
            </w:r>
          </w:p>
        </w:tc>
        <w:tc>
          <w:tcPr>
            <w:tcW w:w="720"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c>
          <w:tcPr>
            <w:tcW w:w="1050" w:type="dxa"/>
            <w:vMerge w:val="continue"/>
          </w:tcPr>
          <w:p>
            <w:pPr>
              <w:widowControl/>
              <w:adjustRightInd w:val="0"/>
              <w:snapToGrid w:val="0"/>
              <w:rPr>
                <w:rFonts w:ascii="宋体" w:hAnsi="宋体" w:eastAsia="宋体" w:cs="Calibri"/>
                <w:b/>
                <w:bCs/>
                <w:color w:val="000000"/>
                <w:kern w:val="2"/>
                <w:sz w:val="24"/>
                <w:szCs w:val="24"/>
              </w:rPr>
            </w:pPr>
          </w:p>
        </w:tc>
        <w:tc>
          <w:tcPr>
            <w:tcW w:w="2268" w:type="dxa"/>
          </w:tcPr>
          <w:p>
            <w:pPr>
              <w:widowControl/>
              <w:adjustRightInd w:val="0"/>
              <w:snapToGrid w:val="0"/>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21</w:t>
            </w:r>
            <w:r>
              <w:rPr>
                <w:rFonts w:hint="eastAsia" w:ascii="宋体" w:hAnsi="宋体" w:eastAsia="宋体" w:cs="宋体"/>
                <w:color w:val="000000"/>
                <w:kern w:val="2"/>
                <w:sz w:val="24"/>
                <w:szCs w:val="24"/>
              </w:rPr>
              <w:t>《小壁虎借尾巴》</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tcPr>
          <w:p>
            <w:pPr>
              <w:widowControl/>
              <w:adjustRightInd w:val="0"/>
              <w:snapToGrid w:val="0"/>
              <w:rPr>
                <w:rFonts w:ascii="宋体" w:hAnsi="宋体" w:eastAsia="宋体" w:cs="Calibri"/>
                <w:b/>
                <w:bCs/>
                <w:color w:val="000000"/>
                <w:kern w:val="2"/>
                <w:sz w:val="24"/>
                <w:szCs w:val="24"/>
              </w:rPr>
            </w:pPr>
          </w:p>
        </w:tc>
        <w:tc>
          <w:tcPr>
            <w:tcW w:w="2478" w:type="dxa"/>
          </w:tcPr>
          <w:p>
            <w:pPr>
              <w:widowControl/>
              <w:adjustRightInd w:val="0"/>
              <w:snapToGrid w:val="0"/>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10</w:t>
            </w:r>
            <w:r>
              <w:rPr>
                <w:rFonts w:hint="eastAsia" w:ascii="宋体" w:hAnsi="宋体" w:eastAsia="宋体" w:cs="宋体"/>
                <w:color w:val="000000"/>
                <w:kern w:val="2"/>
                <w:sz w:val="24"/>
                <w:szCs w:val="24"/>
              </w:rPr>
              <w:t>《端午粽》</w:t>
            </w:r>
          </w:p>
        </w:tc>
        <w:tc>
          <w:tcPr>
            <w:tcW w:w="720"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c>
          <w:tcPr>
            <w:tcW w:w="1050" w:type="dxa"/>
            <w:vMerge w:val="continue"/>
          </w:tcPr>
          <w:p>
            <w:pPr>
              <w:widowControl/>
              <w:adjustRightInd w:val="0"/>
              <w:snapToGrid w:val="0"/>
              <w:rPr>
                <w:rFonts w:ascii="宋体" w:hAnsi="宋体" w:eastAsia="宋体" w:cs="Calibri"/>
                <w:b/>
                <w:bCs/>
                <w:color w:val="000000"/>
                <w:kern w:val="2"/>
                <w:sz w:val="24"/>
                <w:szCs w:val="24"/>
              </w:rPr>
            </w:pPr>
          </w:p>
        </w:tc>
        <w:tc>
          <w:tcPr>
            <w:tcW w:w="2268" w:type="dxa"/>
          </w:tcPr>
          <w:p>
            <w:pPr>
              <w:widowControl/>
              <w:adjustRightInd w:val="0"/>
              <w:snapToGrid w:val="0"/>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语文园地八</w:t>
            </w:r>
          </w:p>
        </w:tc>
        <w:tc>
          <w:tcPr>
            <w:tcW w:w="748"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tcPr>
          <w:p>
            <w:pPr>
              <w:widowControl/>
              <w:adjustRightInd w:val="0"/>
              <w:snapToGrid w:val="0"/>
              <w:rPr>
                <w:rFonts w:ascii="宋体" w:hAnsi="宋体" w:eastAsia="宋体" w:cs="Calibri"/>
                <w:b/>
                <w:bCs/>
                <w:color w:val="000000"/>
                <w:kern w:val="2"/>
                <w:sz w:val="24"/>
                <w:szCs w:val="24"/>
              </w:rPr>
            </w:pPr>
          </w:p>
        </w:tc>
        <w:tc>
          <w:tcPr>
            <w:tcW w:w="2478" w:type="dxa"/>
          </w:tcPr>
          <w:p>
            <w:pPr>
              <w:widowControl/>
              <w:adjustRightInd w:val="0"/>
              <w:snapToGrid w:val="0"/>
              <w:rPr>
                <w:rFonts w:ascii="宋体" w:hAnsi="宋体" w:eastAsia="宋体" w:cs="Calibri"/>
                <w:b/>
                <w:bCs/>
                <w:color w:val="000000"/>
                <w:kern w:val="2"/>
                <w:sz w:val="24"/>
                <w:szCs w:val="24"/>
              </w:rPr>
            </w:pPr>
            <w:r>
              <w:rPr>
                <w:rFonts w:hint="eastAsia" w:ascii="宋体" w:hAnsi="宋体" w:eastAsia="宋体" w:cs="Calibri"/>
                <w:color w:val="000000"/>
                <w:kern w:val="2"/>
                <w:sz w:val="24"/>
                <w:szCs w:val="24"/>
              </w:rPr>
              <w:t>11</w:t>
            </w:r>
            <w:r>
              <w:rPr>
                <w:rFonts w:hint="eastAsia" w:ascii="宋体" w:hAnsi="宋体" w:eastAsia="宋体" w:cs="宋体"/>
                <w:color w:val="000000"/>
                <w:kern w:val="2"/>
                <w:sz w:val="24"/>
                <w:szCs w:val="24"/>
              </w:rPr>
              <w:t>《彩虹》</w:t>
            </w:r>
          </w:p>
        </w:tc>
        <w:tc>
          <w:tcPr>
            <w:tcW w:w="720"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2</w:t>
            </w:r>
          </w:p>
        </w:tc>
        <w:tc>
          <w:tcPr>
            <w:tcW w:w="1050" w:type="dxa"/>
          </w:tcPr>
          <w:p>
            <w:pPr>
              <w:widowControl/>
              <w:adjustRightInd w:val="0"/>
              <w:snapToGrid w:val="0"/>
              <w:rPr>
                <w:rFonts w:ascii="宋体" w:hAnsi="宋体" w:eastAsia="宋体" w:cs="Calibri"/>
                <w:b/>
                <w:bCs/>
                <w:color w:val="000000"/>
                <w:kern w:val="2"/>
                <w:sz w:val="24"/>
                <w:szCs w:val="24"/>
              </w:rPr>
            </w:pPr>
          </w:p>
        </w:tc>
        <w:tc>
          <w:tcPr>
            <w:tcW w:w="2268" w:type="dxa"/>
          </w:tcPr>
          <w:p>
            <w:pPr>
              <w:widowControl/>
              <w:adjustRightInd w:val="0"/>
              <w:snapToGrid w:val="0"/>
              <w:rPr>
                <w:rFonts w:ascii="宋体" w:hAnsi="宋体" w:eastAsia="宋体" w:cs="Calibri"/>
                <w:color w:val="000000"/>
                <w:kern w:val="2"/>
                <w:sz w:val="24"/>
                <w:szCs w:val="24"/>
              </w:rPr>
            </w:pPr>
            <w:r>
              <w:rPr>
                <w:rFonts w:hint="eastAsia" w:ascii="宋体" w:hAnsi="宋体" w:eastAsia="宋体" w:cs="宋体"/>
                <w:color w:val="000000"/>
                <w:kern w:val="2"/>
                <w:sz w:val="24"/>
                <w:szCs w:val="24"/>
              </w:rPr>
              <w:t>复习检测</w:t>
            </w:r>
          </w:p>
        </w:tc>
        <w:tc>
          <w:tcPr>
            <w:tcW w:w="748" w:type="dxa"/>
          </w:tcPr>
          <w:p>
            <w:pPr>
              <w:widowControl/>
              <w:adjustRightInd w:val="0"/>
              <w:snapToGrid w:val="0"/>
              <w:jc w:val="center"/>
              <w:rPr>
                <w:rFonts w:ascii="宋体" w:hAnsi="宋体" w:eastAsia="宋体" w:cs="Calibri"/>
                <w:color w:val="000000"/>
                <w:kern w:val="2"/>
                <w:sz w:val="24"/>
                <w:szCs w:val="24"/>
              </w:rPr>
            </w:pPr>
            <w:r>
              <w:rPr>
                <w:rFonts w:hint="eastAsia" w:ascii="宋体" w:hAnsi="宋体" w:eastAsia="宋体" w:cs="宋体"/>
                <w:color w:val="000000"/>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58" w:type="dxa"/>
            <w:vMerge w:val="continue"/>
          </w:tcPr>
          <w:p>
            <w:pPr>
              <w:widowControl/>
              <w:adjustRightInd w:val="0"/>
              <w:snapToGrid w:val="0"/>
              <w:rPr>
                <w:rFonts w:ascii="宋体" w:hAnsi="宋体" w:eastAsia="宋体" w:cs="Calibri"/>
                <w:b/>
                <w:bCs/>
                <w:color w:val="000000"/>
                <w:kern w:val="2"/>
                <w:sz w:val="24"/>
                <w:szCs w:val="24"/>
              </w:rPr>
            </w:pPr>
          </w:p>
        </w:tc>
        <w:tc>
          <w:tcPr>
            <w:tcW w:w="2478" w:type="dxa"/>
          </w:tcPr>
          <w:p>
            <w:pPr>
              <w:widowControl/>
              <w:adjustRightInd w:val="0"/>
              <w:snapToGrid w:val="0"/>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语文园地四</w:t>
            </w:r>
          </w:p>
        </w:tc>
        <w:tc>
          <w:tcPr>
            <w:tcW w:w="720" w:type="dxa"/>
          </w:tcPr>
          <w:p>
            <w:pPr>
              <w:widowControl/>
              <w:adjustRightInd w:val="0"/>
              <w:snapToGrid w:val="0"/>
              <w:jc w:val="center"/>
              <w:rPr>
                <w:rFonts w:ascii="宋体" w:hAnsi="宋体" w:eastAsia="宋体" w:cs="Calibri"/>
                <w:b/>
                <w:bCs/>
                <w:color w:val="000000"/>
                <w:kern w:val="2"/>
                <w:sz w:val="24"/>
                <w:szCs w:val="24"/>
              </w:rPr>
            </w:pPr>
            <w:r>
              <w:rPr>
                <w:rFonts w:hint="eastAsia" w:ascii="宋体" w:hAnsi="宋体" w:eastAsia="宋体" w:cs="宋体"/>
                <w:color w:val="000000"/>
                <w:kern w:val="2"/>
                <w:sz w:val="24"/>
                <w:szCs w:val="24"/>
              </w:rPr>
              <w:t>3</w:t>
            </w:r>
          </w:p>
        </w:tc>
        <w:tc>
          <w:tcPr>
            <w:tcW w:w="1050" w:type="dxa"/>
            <w:vMerge w:val="restart"/>
          </w:tcPr>
          <w:p>
            <w:pPr>
              <w:widowControl/>
              <w:adjustRightInd w:val="0"/>
              <w:snapToGrid w:val="0"/>
              <w:rPr>
                <w:rFonts w:ascii="宋体" w:hAnsi="宋体" w:eastAsia="宋体" w:cs="Calibri"/>
                <w:b/>
                <w:bCs/>
                <w:color w:val="000000"/>
                <w:kern w:val="2"/>
                <w:sz w:val="24"/>
                <w:szCs w:val="24"/>
              </w:rPr>
            </w:pPr>
          </w:p>
        </w:tc>
        <w:tc>
          <w:tcPr>
            <w:tcW w:w="2268" w:type="dxa"/>
            <w:vMerge w:val="restart"/>
          </w:tcPr>
          <w:p>
            <w:pPr>
              <w:widowControl/>
              <w:adjustRightInd w:val="0"/>
              <w:snapToGrid w:val="0"/>
              <w:rPr>
                <w:rFonts w:ascii="宋体" w:hAnsi="宋体" w:eastAsia="宋体" w:cs="Calibri"/>
                <w:color w:val="000000"/>
                <w:kern w:val="2"/>
                <w:sz w:val="24"/>
                <w:szCs w:val="24"/>
              </w:rPr>
            </w:pPr>
            <w:r>
              <w:rPr>
                <w:rFonts w:hint="eastAsia" w:ascii="宋体" w:hAnsi="宋体" w:eastAsia="宋体" w:cs="宋体"/>
                <w:color w:val="000000"/>
                <w:kern w:val="2"/>
                <w:sz w:val="24"/>
                <w:szCs w:val="24"/>
              </w:rPr>
              <w:t>期末复习评估</w:t>
            </w:r>
          </w:p>
        </w:tc>
        <w:tc>
          <w:tcPr>
            <w:tcW w:w="748" w:type="dxa"/>
            <w:vMerge w:val="restart"/>
          </w:tcPr>
          <w:p>
            <w:pPr>
              <w:widowControl/>
              <w:adjustRightInd w:val="0"/>
              <w:snapToGrid w:val="0"/>
              <w:jc w:val="center"/>
              <w:rPr>
                <w:rFonts w:ascii="宋体" w:hAnsi="宋体" w:eastAsia="宋体" w:cs="Calibri"/>
                <w:color w:val="000000"/>
                <w:kern w:val="2"/>
                <w:sz w:val="24"/>
                <w:szCs w:val="24"/>
              </w:rPr>
            </w:pPr>
            <w:r>
              <w:rPr>
                <w:rFonts w:hint="eastAsia" w:ascii="宋体" w:hAnsi="宋体" w:eastAsia="宋体" w:cs="Calibri"/>
                <w:color w:val="000000"/>
                <w:kern w:val="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58" w:type="dxa"/>
            <w:vMerge w:val="continue"/>
          </w:tcPr>
          <w:p>
            <w:pPr>
              <w:widowControl/>
              <w:adjustRightInd w:val="0"/>
              <w:snapToGrid w:val="0"/>
            </w:pPr>
          </w:p>
        </w:tc>
        <w:tc>
          <w:tcPr>
            <w:tcW w:w="2478" w:type="dxa"/>
            <w:vAlign w:val="top"/>
          </w:tcPr>
          <w:p>
            <w:pPr>
              <w:widowControl/>
              <w:adjustRightInd w:val="0"/>
              <w:snapToGrid w:val="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复习检测</w:t>
            </w:r>
          </w:p>
        </w:tc>
        <w:tc>
          <w:tcPr>
            <w:tcW w:w="720" w:type="dxa"/>
            <w:vAlign w:val="top"/>
          </w:tcPr>
          <w:p>
            <w:pPr>
              <w:widowControl/>
              <w:adjustRightInd w:val="0"/>
              <w:snapToGrid w:val="0"/>
              <w:ind w:firstLine="240" w:firstLineChars="1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3</w:t>
            </w:r>
          </w:p>
        </w:tc>
        <w:tc>
          <w:tcPr>
            <w:tcW w:w="1050" w:type="dxa"/>
            <w:vMerge w:val="continue"/>
          </w:tcPr>
          <w:p>
            <w:pPr>
              <w:widowControl/>
              <w:adjustRightInd w:val="0"/>
              <w:snapToGrid w:val="0"/>
              <w:rPr>
                <w:rFonts w:hint="eastAsia" w:ascii="宋体" w:hAnsi="宋体" w:eastAsia="宋体" w:cs="宋体"/>
                <w:color w:val="000000"/>
                <w:kern w:val="2"/>
                <w:sz w:val="24"/>
                <w:szCs w:val="24"/>
              </w:rPr>
            </w:pPr>
          </w:p>
        </w:tc>
        <w:tc>
          <w:tcPr>
            <w:tcW w:w="2268" w:type="dxa"/>
            <w:vMerge w:val="continue"/>
          </w:tcPr>
          <w:p>
            <w:pPr>
              <w:widowControl/>
              <w:adjustRightInd w:val="0"/>
              <w:snapToGrid w:val="0"/>
              <w:rPr>
                <w:rFonts w:hint="eastAsia" w:ascii="宋体" w:hAnsi="宋体" w:eastAsia="宋体" w:cs="宋体"/>
                <w:color w:val="000000"/>
                <w:kern w:val="2"/>
                <w:sz w:val="24"/>
                <w:szCs w:val="24"/>
              </w:rPr>
            </w:pPr>
          </w:p>
        </w:tc>
        <w:tc>
          <w:tcPr>
            <w:tcW w:w="748" w:type="dxa"/>
            <w:vMerge w:val="continue"/>
          </w:tcPr>
          <w:p>
            <w:pPr>
              <w:widowControl/>
              <w:adjustRightInd w:val="0"/>
              <w:snapToGrid w:val="0"/>
              <w:rPr>
                <w:rFonts w:hint="eastAsia" w:ascii="宋体" w:hAnsi="宋体" w:eastAsia="宋体" w:cs="宋体"/>
                <w:color w:val="000000"/>
                <w:kern w:val="2"/>
                <w:sz w:val="24"/>
                <w:szCs w:val="24"/>
              </w:rPr>
            </w:pPr>
          </w:p>
        </w:tc>
      </w:tr>
    </w:tbl>
    <w:p>
      <w:pPr>
        <w:widowControl/>
        <w:adjustRightInd w:val="0"/>
        <w:snapToGrid w:val="0"/>
        <w:rPr>
          <w:rFonts w:ascii="宋体" w:hAnsi="宋体" w:eastAsia="宋体" w:cs="宋体"/>
          <w:b/>
          <w:kern w:val="0"/>
          <w:sz w:val="28"/>
          <w:szCs w:val="28"/>
        </w:rPr>
      </w:pPr>
      <w:r>
        <w:rPr>
          <w:rFonts w:hint="eastAsia" w:ascii="宋体" w:hAnsi="宋体" w:eastAsia="宋体" w:cs="宋体"/>
          <w:b/>
          <w:kern w:val="0"/>
          <w:sz w:val="28"/>
          <w:szCs w:val="28"/>
        </w:rPr>
        <w:t>实施</w:t>
      </w:r>
    </w:p>
    <w:p>
      <w:pPr>
        <w:widowControl/>
        <w:adjustRightInd w:val="0"/>
        <w:snapToGrid w:val="0"/>
        <w:rPr>
          <w:rFonts w:ascii="宋体" w:hAnsi="宋体" w:eastAsia="宋体" w:cs="Arial"/>
          <w:b/>
          <w:color w:val="000000"/>
          <w:kern w:val="0"/>
          <w:sz w:val="28"/>
          <w:szCs w:val="28"/>
        </w:rPr>
      </w:pPr>
      <w:r>
        <w:rPr>
          <w:rFonts w:hint="eastAsia" w:ascii="宋体" w:hAnsi="宋体" w:eastAsia="宋体" w:cs="Arial"/>
          <w:b/>
          <w:color w:val="000000"/>
          <w:kern w:val="0"/>
          <w:sz w:val="28"/>
          <w:szCs w:val="28"/>
        </w:rPr>
        <w:t>一</w:t>
      </w:r>
      <w:r>
        <w:rPr>
          <w:rFonts w:ascii="宋体" w:hAnsi="宋体" w:eastAsia="宋体" w:cs="Arial"/>
          <w:b/>
          <w:color w:val="000000"/>
          <w:kern w:val="0"/>
          <w:sz w:val="28"/>
          <w:szCs w:val="28"/>
        </w:rPr>
        <w:t xml:space="preserve"> 、课程资源</w:t>
      </w:r>
    </w:p>
    <w:p>
      <w:pPr>
        <w:widowControl/>
        <w:adjustRightInd w:val="0"/>
        <w:snapToGrid w:val="0"/>
        <w:spacing w:after="160"/>
        <w:ind w:firstLine="140" w:firstLineChars="50"/>
        <w:rPr>
          <w:rFonts w:ascii="宋体" w:hAnsi="宋体" w:eastAsia="宋体" w:cs="宋体"/>
          <w:color w:val="000000"/>
          <w:sz w:val="28"/>
          <w:szCs w:val="28"/>
        </w:rPr>
      </w:pPr>
      <w:r>
        <w:rPr>
          <w:rFonts w:ascii="宋体" w:hAnsi="宋体" w:eastAsia="宋体" w:cs="宋体"/>
          <w:color w:val="000000"/>
          <w:sz w:val="28"/>
          <w:szCs w:val="28"/>
        </w:rPr>
        <w:t>1.义务教育课程标准实验教科书。 一年级《语文（下册）》，人民教育出版社。</w:t>
      </w:r>
    </w:p>
    <w:p>
      <w:pPr>
        <w:widowControl/>
        <w:adjustRightInd w:val="0"/>
        <w:snapToGrid w:val="0"/>
        <w:spacing w:after="160"/>
        <w:ind w:firstLine="140" w:firstLineChars="50"/>
        <w:rPr>
          <w:rFonts w:ascii="宋体" w:hAnsi="宋体" w:eastAsia="宋体" w:cs="宋体"/>
          <w:color w:val="000000"/>
          <w:sz w:val="28"/>
          <w:szCs w:val="28"/>
        </w:rPr>
      </w:pPr>
      <w:r>
        <w:rPr>
          <w:rFonts w:ascii="宋体" w:hAnsi="宋体" w:eastAsia="宋体" w:cs="宋体"/>
          <w:color w:val="000000"/>
          <w:sz w:val="28"/>
          <w:szCs w:val="28"/>
        </w:rPr>
        <w:t>2</w:t>
      </w:r>
      <w:r>
        <w:rPr>
          <w:rFonts w:hint="eastAsia" w:ascii="宋体" w:hAnsi="宋体" w:eastAsia="宋体" w:cs="宋体"/>
          <w:color w:val="000000"/>
          <w:sz w:val="28"/>
          <w:szCs w:val="28"/>
        </w:rPr>
        <w:t>.</w:t>
      </w:r>
      <w:r>
        <w:rPr>
          <w:rFonts w:ascii="宋体" w:hAnsi="宋体" w:eastAsia="宋体" w:cs="宋体"/>
          <w:color w:val="000000"/>
          <w:sz w:val="28"/>
          <w:szCs w:val="28"/>
        </w:rPr>
        <w:t>课内资源：</w:t>
      </w:r>
      <w:r>
        <w:rPr>
          <w:rFonts w:hint="eastAsia" w:ascii="宋体" w:hAnsi="宋体" w:eastAsia="宋体" w:cs="宋体"/>
          <w:color w:val="000000"/>
          <w:sz w:val="28"/>
          <w:szCs w:val="28"/>
        </w:rPr>
        <w:t>利用教材中的课后习题、语文园地、口语交际、泡泡提示、和大人一起读、快乐读书吧、识字表、写字表以及常用偏旁名称表进行学习。</w:t>
      </w:r>
    </w:p>
    <w:p>
      <w:pPr>
        <w:widowControl/>
        <w:adjustRightInd w:val="0"/>
        <w:snapToGrid w:val="0"/>
        <w:spacing w:after="160"/>
        <w:ind w:firstLine="140" w:firstLineChars="50"/>
        <w:rPr>
          <w:rFonts w:ascii="宋体" w:hAnsi="宋体" w:eastAsia="宋体" w:cs="宋体"/>
          <w:color w:val="000000"/>
          <w:sz w:val="28"/>
          <w:szCs w:val="28"/>
        </w:rPr>
      </w:pPr>
      <w:r>
        <w:rPr>
          <w:rFonts w:ascii="宋体" w:hAnsi="宋体" w:eastAsia="宋体" w:cs="宋体"/>
          <w:color w:val="000000"/>
          <w:sz w:val="28"/>
          <w:szCs w:val="28"/>
        </w:rPr>
        <w:t>3</w:t>
      </w:r>
      <w:r>
        <w:rPr>
          <w:rFonts w:hint="eastAsia" w:ascii="宋体" w:hAnsi="宋体" w:eastAsia="宋体" w:cs="宋体"/>
          <w:color w:val="000000"/>
          <w:sz w:val="28"/>
          <w:szCs w:val="28"/>
        </w:rPr>
        <w:t>.</w:t>
      </w:r>
      <w:r>
        <w:rPr>
          <w:rFonts w:ascii="宋体" w:hAnsi="宋体" w:eastAsia="宋体" w:cs="宋体"/>
          <w:color w:val="000000"/>
          <w:sz w:val="28"/>
          <w:szCs w:val="28"/>
        </w:rPr>
        <w:t>课外资源 ：工具书，生字生词卡片 （教师用、学生用）</w:t>
      </w:r>
      <w:r>
        <w:rPr>
          <w:rFonts w:hint="eastAsia" w:ascii="宋体" w:hAnsi="宋体" w:eastAsia="宋体" w:cs="宋体"/>
          <w:color w:val="000000"/>
          <w:sz w:val="28"/>
          <w:szCs w:val="28"/>
        </w:rPr>
        <w:t>，《猜猜我有多爱你》、《我的爸爸叫焦尼》等课外绘本读物。</w:t>
      </w:r>
    </w:p>
    <w:p>
      <w:pPr>
        <w:widowControl/>
        <w:adjustRightInd w:val="0"/>
        <w:snapToGrid w:val="0"/>
        <w:rPr>
          <w:rFonts w:ascii="宋体" w:hAnsi="宋体" w:eastAsia="宋体" w:cs="Arial"/>
          <w:b/>
          <w:color w:val="000000"/>
          <w:kern w:val="0"/>
          <w:sz w:val="28"/>
          <w:szCs w:val="28"/>
        </w:rPr>
      </w:pPr>
      <w:r>
        <w:rPr>
          <w:rFonts w:hint="eastAsia" w:ascii="宋体" w:hAnsi="宋体" w:eastAsia="宋体" w:cs="Arial"/>
          <w:b/>
          <w:color w:val="000000"/>
          <w:kern w:val="0"/>
          <w:sz w:val="28"/>
          <w:szCs w:val="28"/>
        </w:rPr>
        <w:t>二、教学活动</w:t>
      </w:r>
    </w:p>
    <w:p>
      <w:pPr>
        <w:widowControl/>
        <w:adjustRightInd w:val="0"/>
        <w:snapToGrid w:val="0"/>
        <w:spacing w:after="160"/>
        <w:ind w:firstLine="560" w:firstLineChars="200"/>
        <w:rPr>
          <w:rFonts w:ascii="宋体" w:hAnsi="宋体" w:eastAsia="宋体" w:cs="Calibri"/>
          <w:color w:val="000000"/>
          <w:sz w:val="28"/>
          <w:szCs w:val="28"/>
        </w:rPr>
      </w:pPr>
      <w:r>
        <w:rPr>
          <w:rFonts w:hint="eastAsia" w:ascii="宋体" w:hAnsi="宋体" w:eastAsia="宋体" w:cs="宋体"/>
          <w:color w:val="000000"/>
          <w:sz w:val="28"/>
          <w:szCs w:val="28"/>
        </w:rPr>
        <w:t>识字与写字</w:t>
      </w:r>
    </w:p>
    <w:p>
      <w:pPr>
        <w:widowControl/>
        <w:adjustRightInd w:val="0"/>
        <w:snapToGrid w:val="0"/>
        <w:spacing w:after="160"/>
        <w:rPr>
          <w:rFonts w:ascii="宋体" w:hAnsi="宋体" w:eastAsia="宋体" w:cs="Calibri"/>
          <w:color w:val="000000"/>
          <w:sz w:val="28"/>
          <w:szCs w:val="28"/>
        </w:rPr>
      </w:pPr>
      <w:r>
        <w:rPr>
          <w:rFonts w:hint="eastAsia" w:ascii="宋体" w:hAnsi="宋体" w:eastAsia="宋体" w:cs="Calibri"/>
          <w:color w:val="000000"/>
          <w:sz w:val="28"/>
          <w:szCs w:val="28"/>
        </w:rPr>
        <w:t xml:space="preserve">  </w:t>
      </w:r>
      <w:r>
        <w:rPr>
          <w:rFonts w:hint="eastAsia" w:ascii="宋体" w:hAnsi="宋体" w:eastAsia="宋体" w:cs="宋体"/>
          <w:color w:val="000000"/>
          <w:sz w:val="28"/>
          <w:szCs w:val="28"/>
        </w:rPr>
        <w:t>运用字理识字、同类事物列举识字、以趣味性知识（主要是事物归类）和丰富的活动设计识字、传统蒙学的识字等方法识字；写字方面，结合写字学习基本笔画，把字写正确，写端正，每一次学习一种汉字笔顺书写规则，打好写字基础。</w:t>
      </w:r>
    </w:p>
    <w:p>
      <w:pPr>
        <w:widowControl/>
        <w:adjustRightInd w:val="0"/>
        <w:snapToGrid w:val="0"/>
        <w:spacing w:after="160"/>
        <w:ind w:firstLine="560" w:firstLineChars="200"/>
        <w:rPr>
          <w:rFonts w:ascii="宋体" w:hAnsi="宋体" w:eastAsia="宋体" w:cs="Calibri"/>
          <w:color w:val="000000"/>
          <w:sz w:val="28"/>
          <w:szCs w:val="28"/>
        </w:rPr>
      </w:pPr>
      <w:r>
        <w:rPr>
          <w:rFonts w:hint="eastAsia" w:ascii="宋体" w:hAnsi="宋体" w:eastAsia="宋体" w:cs="宋体"/>
          <w:color w:val="000000"/>
          <w:sz w:val="28"/>
          <w:szCs w:val="28"/>
        </w:rPr>
        <w:t>阅读</w:t>
      </w:r>
    </w:p>
    <w:p>
      <w:pPr>
        <w:widowControl/>
        <w:adjustRightInd w:val="0"/>
        <w:snapToGrid w:val="0"/>
        <w:spacing w:after="160"/>
        <w:ind w:firstLine="560" w:firstLineChars="200"/>
        <w:rPr>
          <w:rFonts w:ascii="宋体" w:hAnsi="宋体" w:eastAsia="宋体" w:cs="Calibri"/>
          <w:color w:val="000000"/>
          <w:sz w:val="28"/>
          <w:szCs w:val="28"/>
        </w:rPr>
      </w:pPr>
      <w:r>
        <w:rPr>
          <w:rFonts w:hint="eastAsia" w:ascii="宋体" w:hAnsi="宋体" w:eastAsia="宋体" w:cs="Calibri"/>
          <w:color w:val="000000"/>
          <w:sz w:val="28"/>
          <w:szCs w:val="28"/>
        </w:rPr>
        <w:t>从“读好长句子”“读好对话”和“读出疑问句和感叹句”的语气入手，指导学生把课文读正确、读流利，重视朗读指导，进一步训练学生的朗读能力，每次指导都都提出不同要求，体现层次性，反复练习，做到不破词，不拖长音；引导学生从整体上关照文章，运用已有的阅读知识、阅读能力进行自主阅读，培养阅读的兴趣，成为一个主动、积极的阅读者。</w:t>
      </w:r>
    </w:p>
    <w:p>
      <w:pPr>
        <w:widowControl/>
        <w:adjustRightInd w:val="0"/>
        <w:snapToGrid w:val="0"/>
        <w:spacing w:after="160"/>
        <w:ind w:firstLine="560" w:firstLineChars="200"/>
        <w:rPr>
          <w:rFonts w:ascii="宋体" w:hAnsi="宋体" w:eastAsia="宋体" w:cs="Calibri"/>
          <w:color w:val="000000"/>
          <w:sz w:val="28"/>
          <w:szCs w:val="28"/>
        </w:rPr>
      </w:pPr>
      <w:r>
        <w:rPr>
          <w:rFonts w:hint="eastAsia" w:ascii="宋体" w:hAnsi="宋体" w:eastAsia="宋体" w:cs="宋体"/>
          <w:color w:val="000000"/>
          <w:sz w:val="28"/>
          <w:szCs w:val="28"/>
        </w:rPr>
        <w:t>口语交际</w:t>
      </w:r>
    </w:p>
    <w:p>
      <w:pPr>
        <w:widowControl/>
        <w:adjustRightInd w:val="0"/>
        <w:snapToGrid w:val="0"/>
        <w:spacing w:after="160"/>
        <w:ind w:firstLine="210"/>
        <w:rPr>
          <w:rFonts w:ascii="宋体" w:hAnsi="宋体" w:eastAsia="宋体" w:cs="Calibri"/>
          <w:color w:val="000000"/>
          <w:sz w:val="28"/>
          <w:szCs w:val="28"/>
        </w:rPr>
      </w:pPr>
      <w:r>
        <w:rPr>
          <w:rFonts w:hint="eastAsia" w:ascii="宋体" w:hAnsi="宋体" w:eastAsia="宋体" w:cs="Calibri"/>
          <w:color w:val="000000"/>
          <w:sz w:val="28"/>
          <w:szCs w:val="28"/>
        </w:rPr>
        <w:t>重视情景创设，激发学生的交际兴趣，在每次口语交际活动中，要提出具体的交际目标和要求，促进孩子把交际原则迁移到日常生活，反思生活中存在的交际方面的问题，并有意识地引导学生在学校和社会生活中运用口语交际课中学习到的交际原则，发展学生真实的交际能力。</w:t>
      </w:r>
    </w:p>
    <w:p>
      <w:pPr>
        <w:widowControl/>
        <w:adjustRightInd w:val="0"/>
        <w:snapToGrid w:val="0"/>
        <w:rPr>
          <w:rFonts w:ascii="宋体" w:hAnsi="宋体" w:eastAsia="宋体" w:cs="宋体"/>
          <w:b/>
          <w:kern w:val="0"/>
          <w:sz w:val="28"/>
          <w:szCs w:val="28"/>
        </w:rPr>
      </w:pPr>
      <w:r>
        <w:rPr>
          <w:rFonts w:ascii="宋体" w:hAnsi="宋体" w:eastAsia="宋体" w:cs="宋体"/>
          <w:b/>
          <w:kern w:val="0"/>
          <w:sz w:val="28"/>
          <w:szCs w:val="28"/>
        </w:rPr>
        <w:t>评价</w:t>
      </w:r>
    </w:p>
    <w:p>
      <w:pPr>
        <w:widowControl/>
        <w:adjustRightInd w:val="0"/>
        <w:snapToGrid w:val="0"/>
        <w:spacing w:after="160"/>
        <w:ind w:firstLine="210"/>
        <w:rPr>
          <w:rFonts w:ascii="宋体" w:hAnsi="宋体" w:eastAsia="宋体"/>
          <w:sz w:val="28"/>
          <w:szCs w:val="28"/>
        </w:rPr>
        <w:sectPr>
          <w:headerReference r:id="rId3" w:type="default"/>
          <w:footerReference r:id="rId4" w:type="default"/>
          <w:pgSz w:w="11900" w:h="16840"/>
          <w:pgMar w:top="1304" w:right="1797" w:bottom="1247" w:left="1797" w:header="680" w:footer="680" w:gutter="0"/>
          <w:cols w:space="425" w:num="1"/>
          <w:docGrid w:type="lines" w:linePitch="312" w:charSpace="0"/>
        </w:sectPr>
      </w:pPr>
      <w:r>
        <w:rPr>
          <w:rFonts w:ascii="宋体" w:hAnsi="宋体" w:eastAsia="宋体" w:cs="Calibri"/>
          <w:color w:val="000000"/>
          <w:sz w:val="28"/>
          <w:szCs w:val="28"/>
        </w:rPr>
        <w:t>本学期的成绩是等级，共分为A、B、C、D四个等级。等级是由百分制转换而来的，90</w:t>
      </w:r>
      <w:r>
        <w:rPr>
          <w:rFonts w:hint="eastAsia" w:ascii="宋体" w:hAnsi="宋体" w:eastAsia="宋体" w:cs="Calibri"/>
          <w:color w:val="000000"/>
          <w:sz w:val="28"/>
          <w:szCs w:val="28"/>
          <w:lang w:eastAsia="zh-CN"/>
        </w:rPr>
        <w:t>—</w:t>
      </w:r>
      <w:r>
        <w:rPr>
          <w:rFonts w:ascii="宋体" w:hAnsi="宋体" w:eastAsia="宋体" w:cs="Calibri"/>
          <w:color w:val="000000"/>
          <w:sz w:val="28"/>
          <w:szCs w:val="28"/>
        </w:rPr>
        <w:t>100分为A，80</w:t>
      </w:r>
      <w:r>
        <w:rPr>
          <w:rFonts w:hint="eastAsia" w:ascii="宋体" w:hAnsi="宋体" w:eastAsia="宋体" w:cs="Calibri"/>
          <w:color w:val="000000"/>
          <w:sz w:val="28"/>
          <w:szCs w:val="28"/>
          <w:lang w:eastAsia="zh-CN"/>
        </w:rPr>
        <w:t>—</w:t>
      </w:r>
      <w:r>
        <w:rPr>
          <w:rFonts w:ascii="宋体" w:hAnsi="宋体" w:eastAsia="宋体" w:cs="Calibri"/>
          <w:color w:val="000000"/>
          <w:sz w:val="28"/>
          <w:szCs w:val="28"/>
        </w:rPr>
        <w:t>89分为B，60</w:t>
      </w:r>
      <w:r>
        <w:rPr>
          <w:rFonts w:hint="eastAsia" w:ascii="宋体" w:hAnsi="宋体" w:eastAsia="宋体" w:cs="Calibri"/>
          <w:color w:val="000000"/>
          <w:sz w:val="28"/>
          <w:szCs w:val="28"/>
          <w:lang w:eastAsia="zh-CN"/>
        </w:rPr>
        <w:t>—</w:t>
      </w:r>
      <w:r>
        <w:rPr>
          <w:rFonts w:ascii="宋体" w:hAnsi="宋体" w:eastAsia="宋体" w:cs="Calibri"/>
          <w:color w:val="000000"/>
          <w:sz w:val="28"/>
          <w:szCs w:val="28"/>
        </w:rPr>
        <w:t>79分为C，60分以下为D。</w:t>
      </w:r>
      <w:r>
        <w:rPr>
          <w:rFonts w:ascii="宋体" w:hAnsi="宋体" w:eastAsia="宋体" w:cs="Calibri"/>
          <w:color w:val="000000"/>
          <w:sz w:val="28"/>
          <w:szCs w:val="28"/>
        </w:rPr>
        <w:br w:type="textWrapping"/>
      </w:r>
      <w:r>
        <w:rPr>
          <w:rFonts w:ascii="宋体" w:hAnsi="宋体" w:eastAsia="宋体" w:cs="Calibri"/>
          <w:color w:val="000000"/>
          <w:sz w:val="28"/>
          <w:szCs w:val="28"/>
        </w:rPr>
        <w:t>100分成绩来源分三个部分：过程性评价占30%，期末考试成绩占70％。</w:t>
      </w:r>
      <w:r>
        <w:rPr>
          <w:rFonts w:ascii="宋体" w:hAnsi="宋体" w:eastAsia="宋体" w:cs="Calibri"/>
          <w:color w:val="000000"/>
          <w:sz w:val="28"/>
          <w:szCs w:val="28"/>
        </w:rPr>
        <w:br w:type="textWrapping"/>
      </w:r>
      <w:r>
        <w:rPr>
          <w:rFonts w:ascii="宋体" w:hAnsi="宋体" w:eastAsia="宋体" w:cs="Calibri"/>
          <w:color w:val="000000"/>
          <w:sz w:val="28"/>
          <w:szCs w:val="28"/>
        </w:rPr>
        <w:t>过程性评价主要评三个方面：朗读，口语交际，写字，各占10％。具体要求如下：</w:t>
      </w:r>
      <w:r>
        <w:rPr>
          <w:rFonts w:ascii="宋体" w:hAnsi="宋体" w:eastAsia="宋体" w:cs="Calibri"/>
          <w:color w:val="000000"/>
          <w:sz w:val="28"/>
          <w:szCs w:val="28"/>
        </w:rPr>
        <w:br w:type="textWrapping"/>
      </w:r>
      <w:r>
        <w:rPr>
          <w:rFonts w:ascii="宋体" w:hAnsi="宋体" w:eastAsia="宋体" w:cs="Calibri"/>
          <w:color w:val="000000"/>
          <w:sz w:val="28"/>
          <w:szCs w:val="28"/>
        </w:rPr>
        <w:t>1）朗读：正确（不漏字、不添字，不错字）、流利、有感情。期末，年级组教师团队评价，抽测篇目在本册内容随机产生。</w:t>
      </w:r>
      <w:r>
        <w:rPr>
          <w:rFonts w:ascii="宋体" w:hAnsi="宋体" w:eastAsia="宋体" w:cs="Calibri"/>
          <w:color w:val="000000"/>
          <w:sz w:val="28"/>
          <w:szCs w:val="28"/>
        </w:rPr>
        <w:br w:type="textWrapping"/>
      </w:r>
      <w:r>
        <w:rPr>
          <w:rFonts w:ascii="宋体" w:hAnsi="宋体" w:eastAsia="宋体" w:cs="Calibri"/>
          <w:color w:val="000000"/>
          <w:sz w:val="28"/>
          <w:szCs w:val="28"/>
        </w:rPr>
        <w:t>2）口语交际：立足本学期四次口语交际活动，创设交际情境，从不同角度引导学生发展交际能力，做好课堂评价记录，期末由教师形成终结性评价。</w:t>
      </w:r>
      <w:r>
        <w:rPr>
          <w:rFonts w:ascii="宋体" w:hAnsi="宋体" w:eastAsia="宋体" w:cs="Calibri"/>
          <w:color w:val="000000"/>
          <w:sz w:val="28"/>
          <w:szCs w:val="28"/>
        </w:rPr>
        <w:br w:type="textWrapping"/>
      </w:r>
      <w:r>
        <w:rPr>
          <w:rFonts w:ascii="宋体" w:hAnsi="宋体" w:eastAsia="宋体" w:cs="Calibri"/>
          <w:color w:val="000000"/>
          <w:sz w:val="28"/>
          <w:szCs w:val="28"/>
        </w:rPr>
        <w:t>3）写字：书写习惯持续做到三个一；书写正确（笔顺规则正确）、美观（间架结构美观）。期末由教师针对个体一一评价。</w:t>
      </w:r>
    </w:p>
    <w:p>
      <w:pPr>
        <w:ind w:firstLine="562" w:firstLineChars="200"/>
        <w:rPr>
          <w:rFonts w:hint="eastAsia"/>
          <w:b/>
          <w:bCs/>
          <w:sz w:val="28"/>
          <w:szCs w:val="28"/>
          <w:lang w:val="en-US" w:eastAsia="zh-CN"/>
        </w:rPr>
      </w:pPr>
      <w:r>
        <w:rPr>
          <w:rFonts w:hint="eastAsia"/>
          <w:b/>
          <w:bCs/>
          <w:sz w:val="28"/>
          <w:szCs w:val="28"/>
          <w:lang w:val="en-US" w:eastAsia="zh-CN"/>
        </w:rPr>
        <w:t>解读：</w:t>
      </w:r>
    </w:p>
    <w:p>
      <w:pPr>
        <w:ind w:firstLine="562" w:firstLineChars="200"/>
        <w:rPr>
          <w:rFonts w:hint="eastAsia"/>
          <w:sz w:val="28"/>
          <w:szCs w:val="28"/>
          <w:lang w:val="en-US" w:eastAsia="zh-CN"/>
        </w:rPr>
      </w:pPr>
      <w:r>
        <w:rPr>
          <w:rFonts w:hint="eastAsia"/>
          <w:b/>
          <w:bCs/>
          <w:sz w:val="28"/>
          <w:szCs w:val="28"/>
          <w:lang w:val="en-US" w:eastAsia="zh-CN"/>
        </w:rPr>
        <w:t>一般信息：</w:t>
      </w:r>
      <w:r>
        <w:rPr>
          <w:rFonts w:hint="eastAsia"/>
          <w:sz w:val="28"/>
          <w:szCs w:val="28"/>
          <w:lang w:val="en-US" w:eastAsia="zh-CN"/>
        </w:rPr>
        <w:t>提供的一般信息是完整的，至少包括：题目(如语文一年级（上）课程纲要)；设计者(单位、人名)；课程名称；课程类型；教材来源；适用年级；课时。</w:t>
      </w:r>
    </w:p>
    <w:p>
      <w:pPr>
        <w:ind w:firstLine="562" w:firstLineChars="200"/>
        <w:rPr>
          <w:rFonts w:hint="eastAsia"/>
          <w:sz w:val="28"/>
          <w:szCs w:val="28"/>
          <w:lang w:val="en-US" w:eastAsia="zh-CN"/>
        </w:rPr>
      </w:pPr>
      <w:r>
        <w:rPr>
          <w:rFonts w:hint="eastAsia"/>
          <w:b/>
          <w:bCs/>
          <w:sz w:val="28"/>
          <w:szCs w:val="28"/>
          <w:lang w:val="en-US" w:eastAsia="zh-CN"/>
        </w:rPr>
        <w:t>正文内容</w:t>
      </w:r>
      <w:r>
        <w:rPr>
          <w:rFonts w:hint="eastAsia"/>
          <w:sz w:val="28"/>
          <w:szCs w:val="28"/>
          <w:lang w:val="en-US" w:eastAsia="zh-CN"/>
        </w:rPr>
        <w:t>：课程背景；课目标；课程内容；课程实施；课程评价。</w:t>
      </w:r>
    </w:p>
    <w:p>
      <w:pPr>
        <w:ind w:firstLine="562" w:firstLineChars="200"/>
        <w:rPr>
          <w:rFonts w:hint="eastAsia"/>
          <w:sz w:val="28"/>
          <w:szCs w:val="28"/>
          <w:lang w:val="en-US" w:eastAsia="zh-CN"/>
        </w:rPr>
      </w:pPr>
      <w:r>
        <w:rPr>
          <w:rFonts w:hint="eastAsia"/>
          <w:b/>
          <w:bCs/>
          <w:sz w:val="28"/>
          <w:szCs w:val="28"/>
          <w:lang w:val="en-US" w:eastAsia="zh-CN"/>
        </w:rPr>
        <w:t>整体印象：</w:t>
      </w:r>
      <w:r>
        <w:rPr>
          <w:rFonts w:hint="eastAsia"/>
          <w:b w:val="0"/>
          <w:bCs w:val="0"/>
          <w:sz w:val="28"/>
          <w:szCs w:val="28"/>
          <w:lang w:val="en-US" w:eastAsia="zh-CN"/>
        </w:rPr>
        <w:t>基于课程标准的学期课程纲要</w:t>
      </w:r>
      <w:r>
        <w:rPr>
          <w:rFonts w:hint="eastAsia"/>
          <w:sz w:val="28"/>
          <w:szCs w:val="28"/>
          <w:lang w:val="en-US" w:eastAsia="zh-CN"/>
        </w:rPr>
        <w:t>通过整合学科课程标准、教材、教参和学情，完整、清楚地说明了一个学期基于课程标准的专业教育活动方案设计。每一位教师对课程要有整体的把握，要有清晰的课程意识，要像专家一样思考从“一节课”走向“ 一门课程”。</w:t>
      </w:r>
    </w:p>
    <w:p>
      <w:pPr>
        <w:ind w:firstLine="562" w:firstLineChars="200"/>
        <w:rPr>
          <w:rFonts w:hint="eastAsia"/>
          <w:sz w:val="28"/>
          <w:szCs w:val="28"/>
          <w:lang w:val="en-US" w:eastAsia="zh-CN"/>
        </w:rPr>
      </w:pPr>
      <w:r>
        <w:rPr>
          <w:rFonts w:hint="eastAsia"/>
          <w:b/>
          <w:bCs/>
          <w:sz w:val="28"/>
          <w:szCs w:val="28"/>
          <w:lang w:val="en-US" w:eastAsia="zh-CN"/>
        </w:rPr>
        <w:t>课程背景：</w:t>
      </w:r>
      <w:r>
        <w:rPr>
          <w:rFonts w:hint="eastAsia"/>
          <w:sz w:val="28"/>
          <w:szCs w:val="28"/>
          <w:lang w:val="en-US" w:eastAsia="zh-CN"/>
        </w:rPr>
        <w:t>说明该课程与前后内容的关系；相关学生已有知识与认知特点。</w:t>
      </w:r>
    </w:p>
    <w:p>
      <w:pPr>
        <w:ind w:firstLine="562" w:firstLineChars="200"/>
        <w:rPr>
          <w:rFonts w:hint="eastAsia"/>
          <w:sz w:val="28"/>
          <w:szCs w:val="28"/>
          <w:lang w:val="en-US" w:eastAsia="zh-CN"/>
        </w:rPr>
      </w:pPr>
      <w:r>
        <w:rPr>
          <w:rFonts w:hint="eastAsia"/>
          <w:b/>
          <w:bCs/>
          <w:sz w:val="28"/>
          <w:szCs w:val="28"/>
          <w:lang w:val="en-US" w:eastAsia="zh-CN"/>
        </w:rPr>
        <w:t>课程目标：</w:t>
      </w:r>
      <w:r>
        <w:rPr>
          <w:rFonts w:hint="eastAsia"/>
          <w:sz w:val="28"/>
          <w:szCs w:val="28"/>
          <w:lang w:val="en-US" w:eastAsia="zh-CN"/>
        </w:rPr>
        <w:t>源于课程标准与学生研究；描述通过一定的课时学习后之关键结果的表现；告诉别人通过此内容的学习如何指向学科素养或关键能力（学科核心素养是三维目标的整合与提升）；一般4—6条，每条至多3句；目标叙写规范，每条按三维陈述，三维陈述不是割裂的（举例）；相类似的陈述方式如：通过什么方式学习什么，理解或会做什么，提高或体会什么。</w:t>
      </w:r>
    </w:p>
    <w:p>
      <w:pPr>
        <w:ind w:firstLine="562" w:firstLineChars="200"/>
        <w:rPr>
          <w:rFonts w:hint="eastAsia"/>
          <w:sz w:val="28"/>
          <w:szCs w:val="28"/>
          <w:lang w:val="en-US" w:eastAsia="zh-CN"/>
        </w:rPr>
      </w:pPr>
      <w:r>
        <w:rPr>
          <w:rFonts w:hint="eastAsia"/>
          <w:b/>
          <w:bCs/>
          <w:sz w:val="28"/>
          <w:szCs w:val="28"/>
          <w:lang w:val="en-US" w:eastAsia="zh-CN"/>
        </w:rPr>
        <w:t>课程内容：</w:t>
      </w:r>
      <w:r>
        <w:rPr>
          <w:rFonts w:hint="eastAsia"/>
          <w:sz w:val="28"/>
          <w:szCs w:val="28"/>
          <w:lang w:val="en-US" w:eastAsia="zh-CN"/>
        </w:rPr>
        <w:t>每学期开学第一课时与学生分享此纲要；（包括一、二年级的学生由老师带着学习；三年级以上学生采用引导，提问质疑，交流的方式分享。）教材处理依据目标、学情、条件；（有些单元内容可以整合、增加或者删减，有些后面单元内容可以调整到前边来上。）依据目标合理安排课时，有利于提高新授课学习的有效性；课时数据包括复习、考试时间。</w:t>
      </w:r>
    </w:p>
    <w:p>
      <w:pPr>
        <w:rPr>
          <w:rFonts w:hint="eastAsia"/>
          <w:sz w:val="28"/>
          <w:szCs w:val="28"/>
          <w:lang w:val="en-US" w:eastAsia="zh-CN"/>
        </w:rPr>
      </w:pPr>
    </w:p>
    <w:p>
      <w:pPr>
        <w:ind w:firstLine="562" w:firstLineChars="200"/>
        <w:rPr>
          <w:rFonts w:hint="eastAsia"/>
          <w:sz w:val="28"/>
          <w:szCs w:val="28"/>
          <w:lang w:val="en-US" w:eastAsia="zh-CN"/>
        </w:rPr>
      </w:pPr>
      <w:r>
        <w:rPr>
          <w:rFonts w:hint="eastAsia"/>
          <w:b/>
          <w:bCs/>
          <w:sz w:val="28"/>
          <w:szCs w:val="28"/>
          <w:lang w:val="en-US" w:eastAsia="zh-CN"/>
        </w:rPr>
        <w:t>课程实施：</w:t>
      </w:r>
      <w:r>
        <w:rPr>
          <w:rFonts w:hint="eastAsia"/>
          <w:sz w:val="28"/>
          <w:szCs w:val="28"/>
          <w:lang w:val="en-US" w:eastAsia="zh-CN"/>
        </w:rPr>
        <w:t>所选择的教与学的方法与目标匹配，教与学都要指向于目标的达成；创设有利于学习的情景；学习方式多样；以资源活动、事件来陈述，体现学科化、本学期化。</w:t>
      </w:r>
    </w:p>
    <w:p>
      <w:pPr>
        <w:ind w:firstLine="562" w:firstLineChars="200"/>
        <w:rPr>
          <w:rFonts w:hint="eastAsia"/>
          <w:sz w:val="28"/>
          <w:szCs w:val="28"/>
          <w:lang w:val="en-US" w:eastAsia="zh-CN"/>
        </w:rPr>
      </w:pPr>
      <w:r>
        <w:rPr>
          <w:rFonts w:hint="eastAsia"/>
          <w:b/>
          <w:bCs/>
          <w:sz w:val="28"/>
          <w:szCs w:val="28"/>
          <w:lang w:val="en-US" w:eastAsia="zh-CN"/>
        </w:rPr>
        <w:t>课程评价：没有评价就没有课程。每个教师都是质量监测员，既要学会教学，又要学会评价。</w:t>
      </w:r>
      <w:r>
        <w:rPr>
          <w:rFonts w:hint="eastAsia"/>
          <w:sz w:val="28"/>
          <w:szCs w:val="28"/>
          <w:lang w:val="en-US" w:eastAsia="zh-CN"/>
        </w:rPr>
        <w:t>评价框架（评什么、怎么评、谁来评）的设计与结果解释与目标匹配；成绩结构及来源（过程与结果）清楚；过程评价体现对纸笔测试无法涉及的学科目标的关注。（例如语文的朗读、数学的操作实践、英语的口语表达纸笔测试就无法检测</w:t>
      </w:r>
      <w:r>
        <w:rPr>
          <w:rFonts w:hint="eastAsia"/>
          <w:color w:val="FF0000"/>
          <w:sz w:val="28"/>
          <w:szCs w:val="28"/>
          <w:lang w:val="en-US" w:eastAsia="zh-CN"/>
        </w:rPr>
        <w:t>——参考PPT</w:t>
      </w:r>
      <w:r>
        <w:rPr>
          <w:rFonts w:hint="eastAsia"/>
          <w:sz w:val="28"/>
          <w:szCs w:val="28"/>
          <w:lang w:val="en-US" w:eastAsia="zh-CN"/>
        </w:rPr>
        <w:t>）</w:t>
      </w:r>
    </w:p>
    <w:p>
      <w:pPr>
        <w:ind w:firstLine="562" w:firstLineChars="200"/>
        <w:rPr>
          <w:rFonts w:hint="eastAsia"/>
          <w:sz w:val="28"/>
          <w:szCs w:val="28"/>
          <w:lang w:val="en-US" w:eastAsia="zh-CN"/>
        </w:rPr>
      </w:pPr>
      <w:r>
        <w:rPr>
          <w:rFonts w:hint="eastAsia"/>
          <w:b/>
          <w:bCs/>
          <w:sz w:val="28"/>
          <w:szCs w:val="28"/>
          <w:lang w:val="en-US" w:eastAsia="zh-CN"/>
        </w:rPr>
        <w:t>一致性：（几个要素之间要达到教学评的一致性。）</w:t>
      </w:r>
      <w:r>
        <w:rPr>
          <w:rFonts w:hint="eastAsia"/>
          <w:sz w:val="28"/>
          <w:szCs w:val="28"/>
          <w:lang w:val="en-US" w:eastAsia="zh-CN"/>
        </w:rPr>
        <w:t>关键目标在内容、实施和评价部分的落实情况；内容处理与实施设计是否有利于学生产生更好的表现；</w:t>
      </w:r>
      <w:r>
        <w:rPr>
          <w:rFonts w:hint="eastAsia"/>
          <w:b w:val="0"/>
          <w:bCs w:val="0"/>
          <w:sz w:val="28"/>
          <w:szCs w:val="28"/>
          <w:lang w:val="en-US" w:eastAsia="zh-CN"/>
        </w:rPr>
        <w:t>课程评价是检测目标是否达成，</w:t>
      </w:r>
      <w:r>
        <w:rPr>
          <w:rFonts w:hint="eastAsia"/>
          <w:sz w:val="28"/>
          <w:szCs w:val="28"/>
          <w:lang w:val="en-US" w:eastAsia="zh-CN"/>
        </w:rPr>
        <w:t>课程评价镶嵌于教学过程中，评价框架与目标要保持一致性。</w:t>
      </w:r>
    </w:p>
    <w:p>
      <w:pPr>
        <w:ind w:firstLine="562" w:firstLineChars="200"/>
        <w:rPr>
          <w:rFonts w:hint="eastAsia"/>
          <w:b/>
          <w:bCs/>
          <w:sz w:val="28"/>
          <w:szCs w:val="28"/>
          <w:lang w:val="en-US" w:eastAsia="zh-CN"/>
        </w:rPr>
      </w:pPr>
      <w:r>
        <w:rPr>
          <w:rFonts w:hint="eastAsia"/>
          <w:b/>
          <w:bCs/>
          <w:sz w:val="28"/>
          <w:szCs w:val="28"/>
          <w:lang w:val="en-US" w:eastAsia="zh-CN"/>
        </w:rPr>
        <w:t>结语：</w:t>
      </w:r>
    </w:p>
    <w:p>
      <w:pPr>
        <w:ind w:firstLine="560" w:firstLineChars="200"/>
        <w:rPr>
          <w:rFonts w:hint="eastAsia"/>
          <w:b/>
          <w:bCs/>
          <w:sz w:val="28"/>
          <w:szCs w:val="28"/>
          <w:lang w:val="en-US" w:eastAsia="zh-CN"/>
        </w:rPr>
      </w:pPr>
      <w:r>
        <w:rPr>
          <w:rFonts w:hint="eastAsia"/>
          <w:sz w:val="28"/>
          <w:szCs w:val="28"/>
          <w:lang w:val="en-US" w:eastAsia="zh-CN"/>
        </w:rPr>
        <w:t>课程改革的主要任务是推进国家课程的最优化实施，而国家课程最优化实施的唯一途径就是国家课程校本化。我们越来越坚信，课堂是国家课程校本化实施的根基和土壤，我们关注的问题越来越聚焦：如何落实“以人文本”推进国家课程校本化实施？如何通过有效教学的专业技术来落实国家课程标准？课程改革行走到今天，答案越来越清晰：“基于课程标准”是课程改革的重要特征，落实课程标准的要求应该成为学科教学的质量底线。</w:t>
      </w:r>
      <w:r>
        <w:rPr>
          <w:rFonts w:hint="eastAsia"/>
          <w:b/>
          <w:bCs/>
          <w:sz w:val="28"/>
          <w:szCs w:val="28"/>
          <w:lang w:val="en-US" w:eastAsia="zh-CN"/>
        </w:rPr>
        <w:t>基于课程标准的学期课程纲要打开了国家课程校本化实施的一扇窗，学期课程纲要最能体现国家课程校本化。</w:t>
      </w:r>
      <w:r>
        <w:rPr>
          <w:rFonts w:hint="eastAsia"/>
          <w:sz w:val="28"/>
          <w:szCs w:val="28"/>
          <w:lang w:val="en-US" w:eastAsia="zh-CN"/>
        </w:rPr>
        <w:t>因此，我们要把研读课程标准作为提高教学有效性的切人点，以校本教研活动为载体，思考课程价值、明确课程目标、整合课程内容、优化课程实施、关注课程评价，以课程标准为依据把握教材、设计教学，真正落实“以人文本”的国家课程校本化实施。</w:t>
      </w:r>
    </w:p>
    <w:p>
      <w:pPr>
        <w:ind w:firstLine="560" w:firstLineChars="200"/>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 xml:space="preserve">     </w:t>
      </w:r>
    </w:p>
    <w:p>
      <w:pPr>
        <w:rPr>
          <w:rFonts w:hint="eastAsia"/>
          <w:sz w:val="28"/>
          <w:szCs w:val="28"/>
          <w:lang w:val="en-US" w:eastAsia="zh-CN"/>
        </w:rPr>
      </w:pPr>
    </w:p>
    <w:p>
      <w:p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p>
  <w:bookmarkEnd w:i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04CE3"/>
    <w:multiLevelType w:val="multilevel"/>
    <w:tmpl w:val="49504CE3"/>
    <w:lvl w:ilvl="0" w:tentative="0">
      <w:start w:val="1"/>
      <w:numFmt w:val="decimal"/>
      <w:lvlText w:val="%1."/>
      <w:lvlJc w:val="left"/>
      <w:pPr>
        <w:ind w:left="600" w:hanging="360"/>
      </w:pPr>
      <w:rPr>
        <w:rFonts w:hint="default" w:eastAsia="Calibri"/>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E541A"/>
    <w:rsid w:val="00606495"/>
    <w:rsid w:val="0A4222CC"/>
    <w:rsid w:val="0BFF20E3"/>
    <w:rsid w:val="15260DED"/>
    <w:rsid w:val="2A6E541A"/>
    <w:rsid w:val="2F211258"/>
    <w:rsid w:val="387D2554"/>
    <w:rsid w:val="4BFD0052"/>
    <w:rsid w:val="4FF10EF1"/>
    <w:rsid w:val="566B7678"/>
    <w:rsid w:val="5F4C5AC5"/>
    <w:rsid w:val="67C518DA"/>
    <w:rsid w:val="6EC112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网格型1"/>
    <w:basedOn w:val="5"/>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147</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2019-02-01T01:10:00Z</dcterms:created>
  <dc:creator>文枫</dc:creator>
  <cp:lastModifiedBy>Administrator</cp:lastModifiedBy>
  <cp:lastPrinted>2019-04-03T09:17:02Z</cp:lastPrinted>
  <dcterms:modified xsi:type="dcterms:W3CDTF">2019-04-03T09:17:31Z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