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吉普赛回旋曲</w:t>
      </w:r>
    </w:p>
    <w:p>
      <w:pPr>
        <w:jc w:val="center"/>
        <w:rPr>
          <w:rFonts w:hint="eastAsia"/>
          <w:b/>
          <w:bCs/>
          <w:sz w:val="32"/>
          <w:szCs w:val="32"/>
          <w:lang w:val="en-US" w:eastAsia="zh-CN"/>
        </w:rPr>
      </w:pP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(1732-1809)“交响曲之父”海顿的音乐之所以具有不朽的价值，不仅是因为在作曲技法上奠定了欧洲古典时期的交响曲和室内乐的规范，还在于他爱好创作反映日常生活的题材，气息清新，朝气蓬勃，并以美妙和幽默的情趣来表现人类朴实明朗的感情和乐观的信念.</w:t>
      </w:r>
    </w:p>
    <w:p>
      <w:pPr>
        <w:keepNext w:val="0"/>
        <w:keepLines w:val="0"/>
        <w:widowControl/>
        <w:suppressLineNumbers w:val="0"/>
        <w:jc w:val="left"/>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吉卜赛回旋曲”回旋曲起源于古代欧洲民间的轮舞歌曲.所谓轮舞，即“圆圈舞”，是一种群众性的集体舞蹈.每当欢度节日、庆祝丰收、举行婚礼、祭奠神灵时，人们就会情不自禁地跳起欢乐的轮舞.舞蹈的基本队形是圆形，首尾相接可以合成圆圈，分开便成为一条弧形的链；可以合成一个大圈，或分成几个小圈，又可以形成双圈作反向移动或内外交错，也可以分成男女交错排列或成对组成圆圈.总之，队形变化多端.</w:t>
      </w:r>
    </w:p>
    <w:p>
      <w:pPr>
        <w:keepNext w:val="0"/>
        <w:keepLines w:val="0"/>
        <w:widowControl/>
        <w:suppressLineNumbers w:val="0"/>
        <w:jc w:val="left"/>
        <w:rPr>
          <w:rFonts w:ascii="宋体" w:hAnsi="宋体" w:eastAsia="宋体" w:cs="宋体"/>
          <w:b/>
          <w:bCs/>
          <w:kern w:val="0"/>
          <w:sz w:val="28"/>
          <w:szCs w:val="28"/>
          <w:lang w:val="en-US" w:eastAsia="zh-CN" w:bidi="ar"/>
        </w:rPr>
      </w:pPr>
      <w:r>
        <w:rPr>
          <w:rFonts w:ascii="宋体" w:hAnsi="宋体" w:eastAsia="宋体" w:cs="宋体"/>
          <w:b/>
          <w:bCs/>
          <w:kern w:val="0"/>
          <w:sz w:val="28"/>
          <w:szCs w:val="28"/>
          <w:lang w:val="en-US" w:eastAsia="zh-CN" w:bidi="ar"/>
        </w:rPr>
        <w:t>吉卜赛的民族音乐特点</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首先是它的音阶与众不同，其中包含有两个增二度的音程.例如，它的最有代表性的“小利第亚调式”，若以“”为主音的话，其音阶排列便是“C</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D</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降E</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升F-G</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降A-B</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C”，也就是说，比我们所熟悉的和声小调还要多一个增二度.正因为多了“这一个”，就使音乐在表现情感的“浓度”上得到了倍增，若以文字来表述的话，甚至可以用“欲火”来形容.</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因此，随之而“生”的第二个特点便是，音乐所表达的情感炽烈、热情而奔放；第三，由于吉卜赛民族从不习惯于居住在一个固定的地方，不断迁移居所已经成为他们的传统.这种酷爱自由的习性，也必然会从音乐作品中反映出来，那就是所运用的音乐语汇“即兴性”很强.</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因此，要想演奏好这首作品，仅仅克服了必要的技术困难是很不够的，更为重要的：</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b/>
          <w:bCs/>
          <w:kern w:val="0"/>
          <w:sz w:val="28"/>
          <w:szCs w:val="28"/>
          <w:lang w:val="en-US" w:eastAsia="zh-CN" w:bidi="ar"/>
        </w:rPr>
        <w:t>一是</w:t>
      </w:r>
      <w:r>
        <w:rPr>
          <w:rFonts w:ascii="宋体" w:hAnsi="宋体" w:eastAsia="宋体" w:cs="宋体"/>
          <w:kern w:val="0"/>
          <w:sz w:val="28"/>
          <w:szCs w:val="28"/>
          <w:lang w:val="en-US" w:eastAsia="zh-CN" w:bidi="ar"/>
        </w:rPr>
        <w:t>，</w:t>
      </w:r>
      <w:r>
        <w:rPr>
          <w:rFonts w:ascii="宋体" w:hAnsi="宋体" w:eastAsia="宋体" w:cs="宋体"/>
          <w:kern w:val="0"/>
          <w:sz w:val="24"/>
          <w:szCs w:val="24"/>
          <w:lang w:val="en-US" w:eastAsia="zh-CN" w:bidi="ar"/>
        </w:rPr>
        <w:t>要从节奏中，真实地体验到它所内蕴的轮舞的运动特征.由于音乐显得朴素而单纯，从它散发出的浓郁的乡村气息之中，让我似乎看到了村民们正欢乐、悠闲自得地跳着圆圈舞.当你练到一定的程度以后，就要边弹琴、边“摇头摆尾”，用自己的身体去“寻找”八分音符律动中舞蹈的美感，千万不要因为“Presto”，就不自量力地弹得飞快。不知道轮舞到底是什么样的，没关系！不妨“参考”一下电视上国外舞蹈团表演的“踢踏舞”。虽然它不绕圈儿，但同样也是注重队形的各种各样变化；虽然它从头至尾只是在“踢踏”，但同样也是通过整齐划一的节奏，透现出人的欢乐、自豪、得意、帅气.</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b/>
          <w:bCs/>
          <w:kern w:val="0"/>
          <w:sz w:val="28"/>
          <w:szCs w:val="28"/>
          <w:lang w:val="en-US" w:eastAsia="zh-CN" w:bidi="ar"/>
        </w:rPr>
        <w:t>二是</w:t>
      </w:r>
      <w:r>
        <w:rPr>
          <w:rFonts w:ascii="宋体" w:hAnsi="宋体" w:eastAsia="宋体" w:cs="宋体"/>
          <w:kern w:val="0"/>
          <w:sz w:val="28"/>
          <w:szCs w:val="28"/>
          <w:lang w:val="en-US" w:eastAsia="zh-CN" w:bidi="ar"/>
        </w:rPr>
        <w:t>，</w:t>
      </w:r>
      <w:r>
        <w:rPr>
          <w:rFonts w:ascii="宋体" w:hAnsi="宋体" w:eastAsia="宋体" w:cs="宋体"/>
          <w:kern w:val="0"/>
          <w:sz w:val="24"/>
          <w:szCs w:val="24"/>
          <w:lang w:val="en-US" w:eastAsia="zh-CN" w:bidi="ar"/>
        </w:rPr>
        <w:t>尽管海顿并没有采用“吉卜赛音调”，但是，从“插部”中仍能感受到吉卜赛民族的炽烈、热情与奔放的性格特征.为了突显这种性格特征，作曲家在两段“插部”中，故意运用了犹如“跺脚”似的和弦式伴奏音型，只是在第二个“插部”的低声部中，又增加了模仿风笛吹奏的长音和切分音，以形成对比.在这两段“插部”中，虽然都标有强、弱对比的力度记号，但千万记住，“f”表示热烈、奔放而不是暴躁，“p”表示优美、雅致而不是虚弱。</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b/>
          <w:bCs/>
          <w:kern w:val="0"/>
          <w:sz w:val="28"/>
          <w:szCs w:val="28"/>
          <w:lang w:val="en-US" w:eastAsia="zh-CN" w:bidi="ar"/>
        </w:rPr>
        <w:t>三是</w:t>
      </w:r>
      <w:r>
        <w:rPr>
          <w:rFonts w:ascii="宋体" w:hAnsi="宋体" w:eastAsia="宋体" w:cs="宋体"/>
          <w:kern w:val="0"/>
          <w:sz w:val="28"/>
          <w:szCs w:val="28"/>
          <w:lang w:val="en-US" w:eastAsia="zh-CN" w:bidi="ar"/>
        </w:rPr>
        <w:t>，</w:t>
      </w:r>
      <w:r>
        <w:rPr>
          <w:rFonts w:ascii="宋体" w:hAnsi="宋体" w:eastAsia="宋体" w:cs="宋体"/>
          <w:kern w:val="0"/>
          <w:sz w:val="24"/>
          <w:szCs w:val="24"/>
          <w:lang w:val="en-US" w:eastAsia="zh-CN" w:bidi="ar"/>
        </w:rPr>
        <w:t>要从不同的音区布局、力度变化、织体“词汇”的各种对比中，细心地体味它们所表达的不同的情感.</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b/>
          <w:bCs/>
          <w:kern w:val="0"/>
          <w:sz w:val="28"/>
          <w:szCs w:val="28"/>
          <w:lang w:val="en-US" w:eastAsia="zh-CN" w:bidi="ar"/>
        </w:rPr>
        <w:t>先说音区布局</w:t>
      </w:r>
      <w:r>
        <w:rPr>
          <w:rFonts w:ascii="宋体" w:hAnsi="宋体" w:eastAsia="宋体" w:cs="宋体"/>
          <w:kern w:val="0"/>
          <w:sz w:val="28"/>
          <w:szCs w:val="28"/>
          <w:lang w:val="en-US" w:eastAsia="zh-CN" w:bidi="ar"/>
        </w:rPr>
        <w:t>.</w:t>
      </w:r>
      <w:r>
        <w:rPr>
          <w:rFonts w:ascii="宋体" w:hAnsi="宋体" w:eastAsia="宋体" w:cs="宋体"/>
          <w:kern w:val="0"/>
          <w:sz w:val="24"/>
          <w:szCs w:val="24"/>
          <w:lang w:val="en-US" w:eastAsia="zh-CN" w:bidi="ar"/>
        </w:rPr>
        <w:t>一开始，第一乐句从中音区进入后，又在高音区“重复”了一遍，只要进行一下比较就能感到，后者的纯朴中还带点儿妩媚；又如，第一“插部”中的前8小节与后8小节，在表现同样的性格特征时，前者“阳刚”气十足，后者却“刚”中带“柔”。</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b/>
          <w:bCs/>
          <w:kern w:val="0"/>
          <w:sz w:val="28"/>
          <w:szCs w:val="28"/>
          <w:lang w:val="en-US" w:eastAsia="zh-CN" w:bidi="ar"/>
        </w:rPr>
        <w:t>后说力度变化</w:t>
      </w:r>
      <w:r>
        <w:rPr>
          <w:rFonts w:ascii="宋体" w:hAnsi="宋体" w:eastAsia="宋体" w:cs="宋体"/>
          <w:kern w:val="0"/>
          <w:sz w:val="28"/>
          <w:szCs w:val="28"/>
          <w:lang w:val="en-US" w:eastAsia="zh-CN" w:bidi="ar"/>
        </w:rPr>
        <w:t>.</w:t>
      </w:r>
      <w:r>
        <w:rPr>
          <w:rFonts w:ascii="宋体" w:hAnsi="宋体" w:eastAsia="宋体" w:cs="宋体"/>
          <w:kern w:val="0"/>
          <w:sz w:val="24"/>
          <w:szCs w:val="24"/>
          <w:lang w:val="en-US" w:eastAsia="zh-CN" w:bidi="ar"/>
        </w:rPr>
        <w:t>譬如在两个“插部”中，对重复乐句都提出了决然相反的力度要求，这时，为了既能表现出鲜明的对比，又能做到强而不“咋呼”，弱而不“虚脱”，建议大家除了在音量上做文章以外，更应注重形象上的对比一强中带自豪、弱中显可爱.</w:t>
      </w:r>
    </w:p>
    <w:p>
      <w:pPr>
        <w:keepNext w:val="0"/>
        <w:keepLines w:val="0"/>
        <w:widowControl/>
        <w:suppressLineNumbers w:val="0"/>
        <w:jc w:val="left"/>
      </w:pPr>
      <w:r>
        <w:rPr>
          <w:rFonts w:ascii="宋体" w:hAnsi="宋体" w:eastAsia="宋体" w:cs="宋体"/>
          <w:b/>
          <w:bCs/>
          <w:kern w:val="0"/>
          <w:sz w:val="28"/>
          <w:szCs w:val="28"/>
          <w:lang w:val="en-US" w:eastAsia="zh-CN" w:bidi="ar"/>
        </w:rPr>
        <w:t>再说织体“词汇”</w:t>
      </w:r>
      <w:r>
        <w:rPr>
          <w:rFonts w:ascii="宋体" w:hAnsi="宋体" w:eastAsia="宋体" w:cs="宋体"/>
          <w:kern w:val="0"/>
          <w:sz w:val="28"/>
          <w:szCs w:val="28"/>
          <w:lang w:val="en-US" w:eastAsia="zh-CN" w:bidi="ar"/>
        </w:rPr>
        <w:t>。</w:t>
      </w:r>
      <w:r>
        <w:rPr>
          <w:rFonts w:ascii="宋体" w:hAnsi="宋体" w:eastAsia="宋体" w:cs="宋体"/>
          <w:kern w:val="0"/>
          <w:sz w:val="24"/>
          <w:szCs w:val="24"/>
          <w:lang w:val="en-US" w:eastAsia="zh-CN" w:bidi="ar"/>
        </w:rPr>
        <w:t xml:space="preserve">在淳朴而优雅的第一乐段中，仍然会插入4小节(第一反复段)模仿长号齐奏的音型，以十足的阳刚气来突显对比；在“主部”的第二乐段中，一开始，先让刚毅的橄与典雅的“落滚”形成鲜明的对比，接着又以“弱”的分声部交叉音型与“强”的合奏音型送行对比. </w:t>
      </w:r>
    </w:p>
    <w:p>
      <w:pPr>
        <w:widowControl/>
        <w:spacing w:line="480" w:lineRule="auto"/>
        <w:jc w:val="left"/>
        <w:rPr>
          <w:rFonts w:hint="eastAsia" w:ascii="宋体" w:hAnsi="宋体" w:cs="宋体"/>
          <w:color w:val="000000"/>
          <w:kern w:val="0"/>
          <w:sz w:val="24"/>
          <w:szCs w:val="24"/>
        </w:rPr>
      </w:pPr>
    </w:p>
    <w:p>
      <w:pPr>
        <w:widowControl/>
        <w:spacing w:line="480" w:lineRule="auto"/>
        <w:jc w:val="left"/>
        <w:rPr>
          <w:rFonts w:hint="eastAsia" w:ascii="宋体" w:hAnsi="宋体" w:cs="宋体"/>
          <w:color w:val="000000"/>
          <w:kern w:val="0"/>
          <w:sz w:val="24"/>
          <w:szCs w:val="24"/>
        </w:rPr>
      </w:pPr>
    </w:p>
    <w:p>
      <w:pPr>
        <w:widowControl/>
        <w:spacing w:line="480" w:lineRule="auto"/>
        <w:jc w:val="left"/>
        <w:rPr>
          <w:rFonts w:hint="eastAsia" w:ascii="宋体" w:hAnsi="宋体" w:cs="宋体"/>
          <w:color w:val="000000"/>
          <w:kern w:val="0"/>
          <w:sz w:val="24"/>
          <w:szCs w:val="24"/>
        </w:rPr>
      </w:pPr>
    </w:p>
    <w:p>
      <w:pPr>
        <w:widowControl/>
        <w:spacing w:line="480" w:lineRule="auto"/>
        <w:jc w:val="left"/>
        <w:rPr>
          <w:rFonts w:hint="eastAsia" w:ascii="宋体" w:hAnsi="宋体" w:cs="宋体"/>
          <w:color w:val="000000"/>
          <w:kern w:val="0"/>
          <w:sz w:val="24"/>
          <w:szCs w:val="24"/>
        </w:rPr>
      </w:pPr>
    </w:p>
    <w:p>
      <w:pPr>
        <w:widowControl/>
        <w:spacing w:line="480" w:lineRule="auto"/>
        <w:jc w:val="left"/>
        <w:rPr>
          <w:rFonts w:hint="eastAsia" w:ascii="宋体" w:hAnsi="宋体" w:cs="宋体"/>
          <w:color w:val="000000"/>
          <w:kern w:val="0"/>
          <w:sz w:val="24"/>
          <w:szCs w:val="24"/>
        </w:rPr>
      </w:pPr>
    </w:p>
    <w:p>
      <w:pPr>
        <w:widowControl/>
        <w:spacing w:line="480" w:lineRule="auto"/>
        <w:jc w:val="left"/>
        <w:rPr>
          <w:rFonts w:hint="eastAsia" w:ascii="宋体" w:hAnsi="宋体" w:cs="宋体"/>
          <w:color w:val="000000"/>
          <w:kern w:val="0"/>
          <w:sz w:val="24"/>
          <w:szCs w:val="24"/>
        </w:rPr>
      </w:pPr>
      <w:bookmarkStart w:id="0" w:name="_GoBack"/>
      <w:bookmarkEnd w:id="0"/>
    </w:p>
    <w:p>
      <w:pPr>
        <w:widowControl/>
        <w:spacing w:line="480" w:lineRule="auto"/>
        <w:jc w:val="left"/>
        <w:rPr>
          <w:rFonts w:hint="eastAsia" w:ascii="宋体" w:hAnsi="宋体" w:cs="宋体"/>
          <w:color w:val="000000"/>
          <w:kern w:val="0"/>
          <w:sz w:val="24"/>
          <w:szCs w:val="24"/>
        </w:rPr>
      </w:pPr>
    </w:p>
    <w:p>
      <w:pPr>
        <w:widowControl/>
        <w:spacing w:line="480" w:lineRule="auto"/>
        <w:jc w:val="left"/>
        <w:rPr>
          <w:rFonts w:hint="eastAsia" w:ascii="宋体" w:hAnsi="宋体" w:cs="宋体"/>
          <w:color w:val="000000"/>
          <w:kern w:val="0"/>
          <w:sz w:val="24"/>
          <w:szCs w:val="24"/>
        </w:rPr>
      </w:pPr>
    </w:p>
    <w:p>
      <w:pPr>
        <w:widowControl/>
        <w:spacing w:line="480" w:lineRule="auto"/>
        <w:jc w:val="left"/>
        <w:rPr>
          <w:rFonts w:hint="eastAsia" w:ascii="宋体" w:hAnsi="宋体" w:cs="宋体"/>
          <w:color w:val="000000"/>
          <w:kern w:val="0"/>
          <w:sz w:val="24"/>
          <w:szCs w:val="24"/>
        </w:rPr>
      </w:pPr>
    </w:p>
    <w:p>
      <w:pPr>
        <w:numPr>
          <w:ilvl w:val="0"/>
          <w:numId w:val="0"/>
        </w:numPr>
        <w:rPr>
          <w:rFonts w:hint="default"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A0BD6"/>
    <w:rsid w:val="3B715186"/>
    <w:rsid w:val="7D5A0BD6"/>
    <w:rsid w:val="7E897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customStyle="1" w:styleId="5">
    <w:name w:val="font41"/>
    <w:basedOn w:val="3"/>
    <w:uiPriority w:val="0"/>
    <w:rPr>
      <w:rFonts w:hint="default" w:ascii="Verdana" w:hAnsi="Verdana" w:cs="Verdana"/>
      <w:color w:val="333333"/>
      <w:sz w:val="28"/>
      <w:szCs w:val="28"/>
      <w:u w:val="none"/>
    </w:rPr>
  </w:style>
  <w:style w:type="character" w:customStyle="1" w:styleId="6">
    <w:name w:val="font61"/>
    <w:basedOn w:val="3"/>
    <w:uiPriority w:val="0"/>
    <w:rPr>
      <w:rFonts w:hint="eastAsia" w:ascii="宋体" w:hAnsi="宋体" w:eastAsia="宋体" w:cs="宋体"/>
      <w:color w:val="333333"/>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2019-10-11T09:08:00Z</dcterms:created>
  <dc:creator>铜豌豆</dc:creator>
  <cp:lastModifiedBy>Administrator</cp:lastModifiedBy>
  <dcterms:modified xsi:type="dcterms:W3CDTF">2019-11-18T07:19:56Z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