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40" w:lineRule="exact"/>
        <w:jc w:val="center"/>
        <w:rPr>
          <w:rFonts w:ascii="黑体" w:eastAsia="黑体"/>
          <w:b/>
          <w:bCs/>
          <w:sz w:val="36"/>
          <w:szCs w:val="36"/>
        </w:rPr>
      </w:pPr>
      <w:r>
        <w:rPr>
          <w:rFonts w:hint="eastAsia" w:ascii="黑体" w:eastAsia="黑体"/>
          <w:b/>
          <w:bCs/>
          <w:sz w:val="36"/>
          <w:szCs w:val="36"/>
        </w:rPr>
        <w:t>双流区刘光文名师工作室</w:t>
      </w:r>
    </w:p>
    <w:p>
      <w:pPr>
        <w:pStyle w:val="5"/>
        <w:pBdr>
          <w:bottom w:val="single" w:color="auto" w:sz="6" w:space="1"/>
        </w:pBdr>
        <w:spacing w:before="0" w:beforeAutospacing="0" w:after="0" w:afterAutospacing="0" w:line="720" w:lineRule="auto"/>
        <w:jc w:val="center"/>
        <w:rPr>
          <w:b/>
          <w:sz w:val="36"/>
          <w:szCs w:val="36"/>
        </w:rPr>
      </w:pPr>
      <w:r>
        <w:rPr>
          <w:rFonts w:hint="eastAsia"/>
          <w:b/>
          <w:sz w:val="36"/>
          <w:szCs w:val="36"/>
        </w:rPr>
        <w:t>简   报</w:t>
      </w:r>
    </w:p>
    <w:p>
      <w:pPr>
        <w:widowControl/>
        <w:tabs>
          <w:tab w:val="left" w:pos="6405"/>
        </w:tabs>
        <w:spacing w:line="288" w:lineRule="auto"/>
        <w:jc w:val="center"/>
        <w:rPr>
          <w:rFonts w:hint="eastAsia" w:ascii="黑体" w:hAnsi="宋体" w:eastAsia="黑体"/>
          <w:color w:val="000000"/>
          <w:kern w:val="0"/>
          <w:sz w:val="28"/>
          <w:szCs w:val="28"/>
          <w:lang w:val="en-US" w:eastAsia="zh-CN"/>
        </w:rPr>
      </w:pPr>
      <w:r>
        <w:rPr>
          <w:rFonts w:hint="eastAsia" w:ascii="黑体" w:hAnsi="宋体" w:eastAsia="黑体"/>
          <w:color w:val="000000"/>
          <w:kern w:val="0"/>
          <w:sz w:val="32"/>
          <w:szCs w:val="32"/>
          <w:lang w:val="en-US" w:eastAsia="zh-CN"/>
        </w:rPr>
        <w:t xml:space="preserve">送教活动展风采   课例研讨促提升 </w:t>
      </w:r>
      <w:r>
        <w:rPr>
          <w:rFonts w:hint="eastAsia" w:ascii="黑体" w:hAnsi="宋体" w:eastAsia="黑体"/>
          <w:color w:val="000000"/>
          <w:kern w:val="0"/>
          <w:sz w:val="28"/>
          <w:szCs w:val="28"/>
          <w:lang w:val="en-US" w:eastAsia="zh-CN"/>
        </w:rPr>
        <w:t xml:space="preserve">                           ——记双流区地理名师工作室活动</w:t>
      </w:r>
    </w:p>
    <w:p>
      <w:pPr>
        <w:widowControl/>
        <w:tabs>
          <w:tab w:val="left" w:pos="6405"/>
        </w:tabs>
        <w:spacing w:line="288" w:lineRule="auto"/>
        <w:jc w:val="left"/>
        <w:rPr>
          <w:rFonts w:ascii="黑体" w:hAnsi="宋体" w:eastAsia="黑体"/>
          <w:color w:val="000000"/>
          <w:kern w:val="0"/>
          <w:sz w:val="28"/>
          <w:szCs w:val="28"/>
        </w:rPr>
      </w:pPr>
      <w:r>
        <w:rPr>
          <w:rFonts w:hint="eastAsia" w:ascii="黑体" w:hAnsi="宋体" w:eastAsia="黑体"/>
          <w:color w:val="000000"/>
          <w:kern w:val="0"/>
          <w:sz w:val="28"/>
          <w:szCs w:val="28"/>
        </w:rPr>
        <w:t>活动时间：201</w:t>
      </w:r>
      <w:r>
        <w:rPr>
          <w:rFonts w:hint="eastAsia" w:ascii="黑体" w:hAnsi="宋体" w:eastAsia="黑体"/>
          <w:color w:val="000000"/>
          <w:kern w:val="0"/>
          <w:sz w:val="28"/>
          <w:szCs w:val="28"/>
          <w:lang w:val="en-US" w:eastAsia="zh-CN"/>
        </w:rPr>
        <w:t>9</w:t>
      </w:r>
      <w:r>
        <w:rPr>
          <w:rFonts w:hint="eastAsia" w:ascii="黑体" w:hAnsi="宋体" w:eastAsia="黑体"/>
          <w:color w:val="000000"/>
          <w:kern w:val="0"/>
          <w:sz w:val="28"/>
          <w:szCs w:val="28"/>
        </w:rPr>
        <w:t>年</w:t>
      </w:r>
      <w:r>
        <w:rPr>
          <w:rFonts w:hint="eastAsia" w:ascii="黑体" w:hAnsi="宋体" w:eastAsia="黑体"/>
          <w:color w:val="000000"/>
          <w:kern w:val="0"/>
          <w:sz w:val="28"/>
          <w:szCs w:val="28"/>
          <w:lang w:val="en-US" w:eastAsia="zh-CN"/>
        </w:rPr>
        <w:t>11</w:t>
      </w:r>
      <w:r>
        <w:rPr>
          <w:rFonts w:hint="eastAsia" w:ascii="黑体" w:hAnsi="宋体" w:eastAsia="黑体"/>
          <w:color w:val="000000"/>
          <w:kern w:val="0"/>
          <w:sz w:val="28"/>
          <w:szCs w:val="28"/>
        </w:rPr>
        <w:t>月</w:t>
      </w:r>
      <w:r>
        <w:rPr>
          <w:rFonts w:hint="eastAsia" w:ascii="黑体" w:hAnsi="宋体" w:eastAsia="黑体"/>
          <w:color w:val="000000"/>
          <w:kern w:val="0"/>
          <w:sz w:val="28"/>
          <w:szCs w:val="28"/>
          <w:lang w:val="en-US" w:eastAsia="zh-CN"/>
        </w:rPr>
        <w:t>15</w:t>
      </w:r>
      <w:r>
        <w:rPr>
          <w:rFonts w:hint="eastAsia" w:ascii="黑体" w:hAnsi="宋体" w:eastAsia="黑体"/>
          <w:color w:val="000000"/>
          <w:kern w:val="0"/>
          <w:sz w:val="28"/>
          <w:szCs w:val="28"/>
        </w:rPr>
        <w:t>日</w:t>
      </w:r>
      <w:r>
        <w:rPr>
          <w:rFonts w:hint="eastAsia" w:ascii="黑体" w:hAnsi="宋体" w:eastAsia="黑体"/>
          <w:color w:val="000000"/>
          <w:kern w:val="0"/>
          <w:sz w:val="28"/>
          <w:szCs w:val="28"/>
        </w:rPr>
        <w:tab/>
      </w:r>
    </w:p>
    <w:p>
      <w:pPr>
        <w:widowControl/>
        <w:tabs>
          <w:tab w:val="left" w:pos="6405"/>
        </w:tabs>
        <w:spacing w:line="288" w:lineRule="auto"/>
        <w:jc w:val="left"/>
        <w:rPr>
          <w:rFonts w:hint="eastAsia" w:ascii="黑体" w:hAnsi="宋体" w:eastAsia="黑体"/>
          <w:color w:val="000000"/>
          <w:kern w:val="0"/>
          <w:sz w:val="28"/>
          <w:szCs w:val="28"/>
          <w:lang w:eastAsia="zh-CN"/>
        </w:rPr>
      </w:pPr>
      <w:r>
        <w:rPr>
          <w:rFonts w:hint="eastAsia" w:ascii="黑体" w:hAnsi="宋体" w:eastAsia="黑体"/>
          <w:color w:val="000000"/>
          <w:kern w:val="0"/>
          <w:sz w:val="28"/>
          <w:szCs w:val="28"/>
        </w:rPr>
        <w:t>活动地点：</w:t>
      </w:r>
      <w:r>
        <w:rPr>
          <w:rFonts w:hint="eastAsia" w:ascii="黑体" w:hAnsi="宋体" w:eastAsia="黑体"/>
          <w:color w:val="000000"/>
          <w:kern w:val="0"/>
          <w:sz w:val="28"/>
          <w:szCs w:val="28"/>
          <w:lang w:eastAsia="zh-CN"/>
        </w:rPr>
        <w:t>永安中学</w:t>
      </w:r>
    </w:p>
    <w:p>
      <w:pPr>
        <w:widowControl/>
        <w:tabs>
          <w:tab w:val="left" w:pos="6405"/>
        </w:tabs>
        <w:spacing w:line="288" w:lineRule="auto"/>
        <w:jc w:val="left"/>
        <w:rPr>
          <w:rFonts w:hint="eastAsia" w:ascii="黑体" w:hAnsi="宋体" w:eastAsia="黑体"/>
          <w:color w:val="000000"/>
          <w:kern w:val="0"/>
          <w:sz w:val="28"/>
          <w:szCs w:val="28"/>
        </w:rPr>
      </w:pPr>
      <w:r>
        <w:rPr>
          <w:rFonts w:hint="eastAsia" w:ascii="黑体" w:hAnsi="宋体" w:eastAsia="黑体"/>
          <w:color w:val="000000"/>
          <w:kern w:val="0"/>
          <w:sz w:val="28"/>
          <w:szCs w:val="28"/>
        </w:rPr>
        <w:t>参加人员：</w:t>
      </w:r>
      <w:r>
        <w:rPr>
          <w:rFonts w:hint="eastAsia" w:ascii="黑体" w:hAnsi="宋体" w:eastAsia="黑体"/>
          <w:color w:val="000000"/>
          <w:kern w:val="0"/>
          <w:sz w:val="28"/>
          <w:szCs w:val="28"/>
          <w:lang w:val="en-US" w:eastAsia="zh-CN"/>
        </w:rPr>
        <w:t>刘光文导师，永安中学地理教师，</w:t>
      </w:r>
      <w:r>
        <w:rPr>
          <w:rFonts w:hint="eastAsia" w:ascii="黑体" w:hAnsi="宋体" w:eastAsia="黑体"/>
          <w:color w:val="000000"/>
          <w:kern w:val="0"/>
          <w:sz w:val="28"/>
          <w:szCs w:val="28"/>
        </w:rPr>
        <w:t>名师工作室</w:t>
      </w:r>
      <w:r>
        <w:rPr>
          <w:rFonts w:hint="eastAsia" w:ascii="黑体" w:hAnsi="宋体" w:eastAsia="黑体"/>
          <w:color w:val="000000"/>
          <w:kern w:val="0"/>
          <w:sz w:val="28"/>
          <w:szCs w:val="28"/>
          <w:lang w:eastAsia="zh-CN"/>
        </w:rPr>
        <w:t>全体</w:t>
      </w:r>
      <w:r>
        <w:rPr>
          <w:rFonts w:hint="eastAsia" w:ascii="黑体" w:hAnsi="宋体" w:eastAsia="黑体"/>
          <w:color w:val="000000"/>
          <w:kern w:val="0"/>
          <w:sz w:val="28"/>
          <w:szCs w:val="28"/>
        </w:rPr>
        <w:t>成员</w:t>
      </w:r>
    </w:p>
    <w:p>
      <w:pPr>
        <w:widowControl/>
        <w:tabs>
          <w:tab w:val="left" w:pos="6405"/>
        </w:tabs>
        <w:spacing w:line="288" w:lineRule="auto"/>
        <w:jc w:val="left"/>
        <w:rPr>
          <w:rFonts w:hint="eastAsia" w:ascii="黑体" w:hAnsi="宋体" w:eastAsia="黑体"/>
          <w:color w:val="000000"/>
          <w:kern w:val="0"/>
          <w:sz w:val="28"/>
          <w:szCs w:val="28"/>
          <w:lang w:val="en-US" w:eastAsia="zh-CN"/>
        </w:rPr>
      </w:pPr>
      <w:r>
        <w:rPr>
          <w:rFonts w:hint="eastAsia" w:ascii="黑体" w:hAnsi="宋体" w:eastAsia="黑体"/>
          <w:color w:val="000000"/>
          <w:kern w:val="0"/>
          <w:sz w:val="28"/>
          <w:szCs w:val="28"/>
        </w:rPr>
        <w:t>活动主题:</w:t>
      </w:r>
      <w:r>
        <w:rPr>
          <w:rFonts w:hint="eastAsia" w:ascii="黑体" w:hAnsi="宋体" w:eastAsia="黑体"/>
          <w:color w:val="000000"/>
          <w:kern w:val="0"/>
          <w:sz w:val="28"/>
          <w:szCs w:val="28"/>
          <w:lang w:val="en-US" w:eastAsia="zh-CN"/>
        </w:rPr>
        <w:t xml:space="preserve"> 课例研讨，</w:t>
      </w:r>
      <w:r>
        <w:rPr>
          <w:rFonts w:hint="eastAsia" w:ascii="黑体" w:hAnsi="宋体" w:eastAsia="黑体"/>
          <w:color w:val="000000"/>
          <w:kern w:val="0"/>
          <w:sz w:val="28"/>
          <w:szCs w:val="28"/>
          <w:lang w:eastAsia="zh-CN"/>
        </w:rPr>
        <w:t>主题交流</w:t>
      </w:r>
    </w:p>
    <w:p>
      <w:pPr>
        <w:widowControl/>
        <w:tabs>
          <w:tab w:val="left" w:pos="6405"/>
        </w:tabs>
        <w:spacing w:line="288" w:lineRule="auto"/>
        <w:jc w:val="left"/>
        <w:rPr>
          <w:rFonts w:hint="eastAsia" w:ascii="黑体" w:hAnsi="宋体" w:eastAsia="黑体"/>
          <w:color w:val="000000"/>
          <w:kern w:val="0"/>
          <w:sz w:val="28"/>
          <w:szCs w:val="28"/>
          <w:lang w:val="en-US" w:eastAsia="zh-CN"/>
        </w:rPr>
      </w:pPr>
      <w:r>
        <w:rPr>
          <w:rFonts w:hint="eastAsia" w:ascii="黑体" w:hAnsi="宋体" w:eastAsia="黑体"/>
          <w:color w:val="000000"/>
          <w:kern w:val="0"/>
          <w:sz w:val="28"/>
          <w:szCs w:val="28"/>
          <w:lang w:val="en-US" w:eastAsia="zh-CN"/>
        </w:rPr>
        <w:t>简报记录：孙晓玉</w:t>
      </w:r>
    </w:p>
    <w:p>
      <w:pPr>
        <w:widowControl/>
        <w:tabs>
          <w:tab w:val="left" w:pos="6405"/>
        </w:tabs>
        <w:spacing w:line="288" w:lineRule="auto"/>
        <w:jc w:val="left"/>
        <w:rPr>
          <w:rFonts w:hint="eastAsia" w:ascii="黑体" w:hAnsi="宋体" w:eastAsia="黑体"/>
          <w:color w:val="000000"/>
          <w:kern w:val="0"/>
          <w:sz w:val="28"/>
          <w:szCs w:val="28"/>
        </w:rPr>
      </w:pPr>
      <w:r>
        <w:rPr>
          <w:rFonts w:hint="eastAsia" w:ascii="黑体" w:hAnsi="宋体" w:eastAsia="黑体"/>
          <w:color w:val="000000"/>
          <w:kern w:val="0"/>
          <w:sz w:val="28"/>
          <w:szCs w:val="28"/>
        </w:rPr>
        <w:t>活动内容：</w:t>
      </w:r>
    </w:p>
    <w:p>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hint="eastAsia" w:eastAsia="宋体"/>
          <w:sz w:val="24"/>
          <w:szCs w:val="24"/>
          <w:lang w:eastAsia="zh-CN"/>
        </w:rPr>
      </w:pPr>
      <w:r>
        <w:rPr>
          <w:rFonts w:hint="eastAsia" w:eastAsia="宋体"/>
          <w:sz w:val="24"/>
          <w:szCs w:val="24"/>
          <w:lang w:eastAsia="zh-CN"/>
        </w:rPr>
        <w:t>为进一步提</w:t>
      </w:r>
      <w:r>
        <w:rPr>
          <w:rFonts w:hint="eastAsia"/>
          <w:sz w:val="24"/>
          <w:szCs w:val="24"/>
          <w:lang w:eastAsia="zh-CN"/>
        </w:rPr>
        <w:t>地理</w:t>
      </w:r>
      <w:r>
        <w:rPr>
          <w:rFonts w:hint="eastAsia" w:eastAsia="宋体"/>
          <w:sz w:val="24"/>
          <w:szCs w:val="24"/>
          <w:lang w:eastAsia="zh-CN"/>
        </w:rPr>
        <w:t>教师的教学教研能力，推动</w:t>
      </w:r>
      <w:r>
        <w:rPr>
          <w:rFonts w:hint="eastAsia"/>
          <w:sz w:val="24"/>
          <w:szCs w:val="24"/>
          <w:lang w:eastAsia="zh-CN"/>
        </w:rPr>
        <w:t>双流区地理</w:t>
      </w:r>
      <w:r>
        <w:rPr>
          <w:rFonts w:hint="eastAsia" w:eastAsia="宋体"/>
          <w:sz w:val="24"/>
          <w:szCs w:val="24"/>
          <w:lang w:eastAsia="zh-CN"/>
        </w:rPr>
        <w:t>教研活动的开展，加强</w:t>
      </w:r>
      <w:r>
        <w:rPr>
          <w:rFonts w:hint="eastAsia"/>
          <w:sz w:val="24"/>
          <w:szCs w:val="24"/>
          <w:lang w:eastAsia="zh-CN"/>
        </w:rPr>
        <w:t>地理</w:t>
      </w:r>
      <w:r>
        <w:rPr>
          <w:rFonts w:hint="eastAsia" w:eastAsia="宋体"/>
          <w:sz w:val="24"/>
          <w:szCs w:val="24"/>
          <w:lang w:eastAsia="zh-CN"/>
        </w:rPr>
        <w:t xml:space="preserve">学科组建设， </w:t>
      </w:r>
      <w:r>
        <w:rPr>
          <w:rFonts w:hint="eastAsia"/>
          <w:sz w:val="24"/>
          <w:szCs w:val="24"/>
          <w:lang w:val="en-US" w:eastAsia="zh-CN"/>
        </w:rPr>
        <w:t>11</w:t>
      </w:r>
      <w:r>
        <w:rPr>
          <w:rFonts w:hint="eastAsia" w:eastAsia="宋体"/>
          <w:sz w:val="24"/>
          <w:szCs w:val="24"/>
          <w:lang w:eastAsia="zh-CN"/>
        </w:rPr>
        <w:t>月1</w:t>
      </w:r>
      <w:r>
        <w:rPr>
          <w:rFonts w:hint="eastAsia"/>
          <w:sz w:val="24"/>
          <w:szCs w:val="24"/>
          <w:lang w:val="en-US" w:eastAsia="zh-CN"/>
        </w:rPr>
        <w:t>5</w:t>
      </w:r>
      <w:r>
        <w:rPr>
          <w:rFonts w:hint="eastAsia" w:eastAsia="宋体"/>
          <w:sz w:val="24"/>
          <w:szCs w:val="24"/>
          <w:lang w:eastAsia="zh-CN"/>
        </w:rPr>
        <w:t>日，</w:t>
      </w:r>
      <w:r>
        <w:rPr>
          <w:rFonts w:hint="eastAsia"/>
          <w:sz w:val="24"/>
          <w:szCs w:val="24"/>
          <w:lang w:eastAsia="zh-CN"/>
        </w:rPr>
        <w:t>双流区刘光文名师工作室</w:t>
      </w:r>
      <w:r>
        <w:rPr>
          <w:rFonts w:hint="eastAsia" w:eastAsia="宋体"/>
          <w:sz w:val="24"/>
          <w:szCs w:val="24"/>
          <w:lang w:eastAsia="zh-CN"/>
        </w:rPr>
        <w:t>送教到</w:t>
      </w:r>
      <w:r>
        <w:rPr>
          <w:rFonts w:hint="eastAsia"/>
          <w:sz w:val="24"/>
          <w:szCs w:val="24"/>
          <w:lang w:eastAsia="zh-CN"/>
        </w:rPr>
        <w:t>永安中学</w:t>
      </w:r>
      <w:r>
        <w:rPr>
          <w:rFonts w:hint="eastAsia" w:eastAsia="宋体"/>
          <w:sz w:val="24"/>
          <w:szCs w:val="24"/>
          <w:lang w:eastAsia="zh-CN"/>
        </w:rPr>
        <w:t>。本次活动由</w:t>
      </w:r>
      <w:r>
        <w:rPr>
          <w:rFonts w:hint="eastAsia"/>
          <w:sz w:val="24"/>
          <w:szCs w:val="24"/>
          <w:lang w:eastAsia="zh-CN"/>
        </w:rPr>
        <w:t>陈文</w:t>
      </w:r>
      <w:r>
        <w:rPr>
          <w:rFonts w:hint="eastAsia" w:eastAsia="宋体"/>
          <w:sz w:val="24"/>
          <w:szCs w:val="24"/>
          <w:lang w:eastAsia="zh-CN"/>
        </w:rPr>
        <w:t>老师主持，活动分</w:t>
      </w:r>
      <w:r>
        <w:rPr>
          <w:rFonts w:hint="eastAsia"/>
          <w:sz w:val="24"/>
          <w:szCs w:val="24"/>
          <w:lang w:eastAsia="zh-CN"/>
        </w:rPr>
        <w:t>课堂展示</w:t>
      </w:r>
      <w:r>
        <w:rPr>
          <w:rFonts w:hint="eastAsia" w:eastAsia="宋体"/>
          <w:sz w:val="24"/>
          <w:szCs w:val="24"/>
          <w:lang w:eastAsia="zh-CN"/>
        </w:rPr>
        <w:t>、课题研讨及</w:t>
      </w:r>
      <w:r>
        <w:rPr>
          <w:rFonts w:hint="eastAsia"/>
          <w:sz w:val="24"/>
          <w:szCs w:val="24"/>
          <w:lang w:eastAsia="zh-CN"/>
        </w:rPr>
        <w:t>专题</w:t>
      </w:r>
      <w:r>
        <w:rPr>
          <w:rFonts w:hint="eastAsia" w:eastAsia="宋体"/>
          <w:sz w:val="24"/>
          <w:szCs w:val="24"/>
          <w:lang w:eastAsia="zh-CN"/>
        </w:rPr>
        <w:t>讲座</w:t>
      </w:r>
      <w:r>
        <w:rPr>
          <w:rFonts w:hint="eastAsia"/>
          <w:sz w:val="24"/>
          <w:szCs w:val="24"/>
          <w:lang w:val="en-US" w:eastAsia="zh-CN"/>
        </w:rPr>
        <w:t>3</w:t>
      </w:r>
      <w:r>
        <w:rPr>
          <w:rFonts w:hint="eastAsia" w:eastAsia="宋体"/>
          <w:sz w:val="24"/>
          <w:szCs w:val="24"/>
          <w:lang w:eastAsia="zh-CN"/>
        </w:rPr>
        <w:t>个环节。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sz w:val="24"/>
          <w:szCs w:val="24"/>
          <w:lang w:eastAsia="zh-CN"/>
        </w:rPr>
      </w:pPr>
      <w:r>
        <w:rPr>
          <w:rFonts w:hint="eastAsia"/>
          <w:b/>
          <w:bCs/>
          <w:sz w:val="28"/>
          <w:szCs w:val="28"/>
          <w:lang w:val="en-US" w:eastAsia="zh-CN"/>
        </w:rPr>
        <w:t>一、课例展示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eastAsia="zh-CN"/>
        </w:rPr>
        <w:t>首先，永安中学何晓鸿老师进行题为《农业区位因素——社会经济因素》的课例展示。何</w:t>
      </w:r>
      <w:r>
        <w:rPr>
          <w:rFonts w:hint="eastAsia"/>
          <w:sz w:val="24"/>
          <w:szCs w:val="24"/>
          <w:lang w:val="en-US" w:eastAsia="zh-CN"/>
        </w:rPr>
        <w:t>老师采用复习导入的方式，让学生快速梳理知识脉络，进入学习状态。教学设计中注重乡土地理知识的运用，引导学生探究永安农业景观的变迁原因，体现了“生活即地理”的思想。巧用高考试题设计了农业区位中“市场”、“交通”区位的探究活动，教学过程中注重思维的构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drawing>
          <wp:inline distT="0" distB="0" distL="114300" distR="114300">
            <wp:extent cx="2475230" cy="1654175"/>
            <wp:effectExtent l="0" t="0" r="1270" b="3175"/>
            <wp:docPr id="3" name="图片 3" descr="C:/Users/TH/AppData/Local/Temp/picturescale_20191121110648/output_20191121110649.jpgoutput_2019112111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H/AppData/Local/Temp/picturescale_20191121110648/output_20191121110649.jpgoutput_20191121110649"/>
                    <pic:cNvPicPr>
                      <a:picLocks noChangeAspect="1"/>
                    </pic:cNvPicPr>
                  </pic:nvPicPr>
                  <pic:blipFill>
                    <a:blip r:embed="rId4"/>
                    <a:srcRect l="12694" t="23546" r="1485"/>
                    <a:stretch>
                      <a:fillRect/>
                    </a:stretch>
                  </pic:blipFill>
                  <pic:spPr>
                    <a:xfrm>
                      <a:off x="0" y="0"/>
                      <a:ext cx="2475230" cy="1654175"/>
                    </a:xfrm>
                    <a:prstGeom prst="rect">
                      <a:avLst/>
                    </a:prstGeom>
                  </pic:spPr>
                </pic:pic>
              </a:graphicData>
            </a:graphic>
          </wp:inline>
        </w:drawing>
      </w:r>
      <w:r>
        <w:rPr>
          <w:rFonts w:hint="eastAsia"/>
          <w:sz w:val="24"/>
          <w:szCs w:val="24"/>
          <w:lang w:val="en-US" w:eastAsia="zh-CN"/>
        </w:rPr>
        <w:drawing>
          <wp:inline distT="0" distB="0" distL="114300" distR="114300">
            <wp:extent cx="2688590" cy="1643380"/>
            <wp:effectExtent l="0" t="0" r="16510" b="13970"/>
            <wp:docPr id="8" name="图片 8" descr="Cache_-32b6cbfe82d6a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ache_-32b6cbfe82d6a725."/>
                    <pic:cNvPicPr>
                      <a:picLocks noChangeAspect="1"/>
                    </pic:cNvPicPr>
                  </pic:nvPicPr>
                  <pic:blipFill>
                    <a:blip r:embed="rId5">
                      <a:lum bright="-6000"/>
                    </a:blip>
                    <a:srcRect r="7964"/>
                    <a:stretch>
                      <a:fillRect/>
                    </a:stretch>
                  </pic:blipFill>
                  <pic:spPr>
                    <a:xfrm>
                      <a:off x="0" y="0"/>
                      <a:ext cx="2688590" cy="16433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sz w:val="24"/>
          <w:szCs w:val="24"/>
          <w:lang w:val="en-US" w:eastAsia="zh-CN"/>
        </w:rPr>
      </w:pPr>
      <w:r>
        <w:rPr>
          <w:rFonts w:hint="eastAsia" w:ascii="华文楷体" w:hAnsi="华文楷体" w:eastAsia="华文楷体" w:cs="华文楷体"/>
          <w:sz w:val="24"/>
          <w:szCs w:val="24"/>
          <w:lang w:val="en-US" w:eastAsia="zh-CN"/>
        </w:rPr>
        <w:t>何晓鸿老师进行课例展示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随后，工作室成员杨漪老师进行题为《农业区位因素——社会经济因素》的课例展示。杨老师结合学生的菜场买菜经历导入课程，以欧洲蔬菜之都埃尔埃希多的蔬菜种植业发展为情境开展教学。以分析埃尔埃希多农业发展不同阶段采用的农业技术为线索设计教学活动，探究了农业技术对农业生产的影响。课堂衔接有美图、有诗文、有妙语；学生活动有抽问、有讨论、有互评；教师点评及时、准确、启发性强。一节课下来，学生顺利完成预设活动，但仍有意犹未尽的感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sz w:val="24"/>
          <w:szCs w:val="24"/>
          <w:lang w:val="en-US" w:eastAsia="zh-CN"/>
        </w:rPr>
      </w:pPr>
      <w:r>
        <w:rPr>
          <w:rFonts w:hint="eastAsia"/>
          <w:sz w:val="24"/>
          <w:szCs w:val="24"/>
          <w:lang w:val="en-US" w:eastAsia="zh-CN"/>
        </w:rPr>
        <w:drawing>
          <wp:inline distT="0" distB="0" distL="114300" distR="114300">
            <wp:extent cx="2656205" cy="1757680"/>
            <wp:effectExtent l="0" t="0" r="10795" b="13970"/>
            <wp:docPr id="2" name="图片 2" descr="C:/Users/TH/AppData/Local/Temp/picturescale_20191121110359/output_20191121110400.jpgoutput_2019112111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H/AppData/Local/Temp/picturescale_20191121110359/output_20191121110400.jpgoutput_20191121110400"/>
                    <pic:cNvPicPr>
                      <a:picLocks noChangeAspect="1"/>
                    </pic:cNvPicPr>
                  </pic:nvPicPr>
                  <pic:blipFill>
                    <a:blip r:embed="rId6"/>
                    <a:srcRect l="7469" t="11958" r="4030" b="9957"/>
                    <a:stretch>
                      <a:fillRect/>
                    </a:stretch>
                  </pic:blipFill>
                  <pic:spPr>
                    <a:xfrm>
                      <a:off x="0" y="0"/>
                      <a:ext cx="2656205" cy="1757680"/>
                    </a:xfrm>
                    <a:prstGeom prst="rect">
                      <a:avLst/>
                    </a:prstGeom>
                  </pic:spPr>
                </pic:pic>
              </a:graphicData>
            </a:graphic>
          </wp:inline>
        </w:drawing>
      </w:r>
      <w:r>
        <w:rPr>
          <w:rFonts w:hint="eastAsia"/>
          <w:sz w:val="24"/>
          <w:szCs w:val="24"/>
          <w:lang w:val="en-US" w:eastAsia="zh-CN"/>
        </w:rPr>
        <w:drawing>
          <wp:inline distT="0" distB="0" distL="114300" distR="114300">
            <wp:extent cx="2544445" cy="1743710"/>
            <wp:effectExtent l="0" t="0" r="8255" b="8890"/>
            <wp:docPr id="9" name="图片 9" descr="C:/Users/TH/AppData/Local/Temp/picturescale_20191121111208/output_20191121111209.jpgoutput_2019112111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TH/AppData/Local/Temp/picturescale_20191121111208/output_20191121111209.jpgoutput_20191121111209"/>
                    <pic:cNvPicPr>
                      <a:picLocks noChangeAspect="1"/>
                    </pic:cNvPicPr>
                  </pic:nvPicPr>
                  <pic:blipFill>
                    <a:blip r:embed="rId7"/>
                    <a:srcRect t="9172"/>
                    <a:stretch>
                      <a:fillRect/>
                    </a:stretch>
                  </pic:blipFill>
                  <pic:spPr>
                    <a:xfrm>
                      <a:off x="0" y="0"/>
                      <a:ext cx="2544445" cy="17437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杨漪老师进行课例展示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sz w:val="24"/>
          <w:szCs w:val="24"/>
          <w:lang w:val="en-US" w:eastAsia="zh-CN"/>
        </w:rPr>
      </w:pPr>
      <w:r>
        <w:rPr>
          <w:rFonts w:hint="eastAsia"/>
          <w:b/>
          <w:bCs/>
          <w:sz w:val="28"/>
          <w:szCs w:val="28"/>
          <w:lang w:val="en-US" w:eastAsia="zh-CN"/>
        </w:rPr>
        <w:t>二、课例研讨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课后，何老师和杨老师针对自己的教学设计意图进行了说课。工作室成员与永安中学地理教师从“教-学-评”一致性的视角对两节课进行了深入探讨。评课内容总结如下：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从目标设计来看，两位老师均是基于课标、教材和学情进行教学目标的设计，目标明确，操作性强。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从评价任务设计的角度，两位老师均有清晰的评价任务，一目标一评价的设计思路十分明确，并且能够做到及时评价。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r>
        <w:rPr>
          <w:rFonts w:hint="eastAsia"/>
          <w:sz w:val="24"/>
          <w:szCs w:val="24"/>
          <w:lang w:val="en-US" w:eastAsia="zh-CN"/>
        </w:rPr>
        <w:t>从情境设计的角度来看，何老师的教学情境选择精妙——以永安农业景观变迁作为切入点，极大调动学生的探究兴趣。美中不足是未对案例情境进行深入挖掘，如果以此为主线串联整合教学问题会更好。杨漪老师的教学情境——埃尔埃希多蔬菜种植业的发展则是贯穿问题始终，保障的课堂的连贯性，更好地体现了情景化教学的要求。同时，运用直观的图片，感性的诗文更好地将学生带入到学习情境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r>
        <w:rPr>
          <w:rFonts w:hint="eastAsia"/>
          <w:sz w:val="24"/>
          <w:szCs w:val="24"/>
          <w:lang w:val="en-US" w:eastAsia="zh-CN"/>
        </w:rPr>
        <w:t>从问题设计的角度来看，何老师的教学问题多来源于高考试题，设问的层次性稍显单一。杨漪老师设计体现了深度学习理念的要求——问题设计由浅入深，可操作性强，且具有挑战性。同时问题设计紧抓教学目标，导向性明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r>
        <w:rPr>
          <w:rFonts w:hint="eastAsia"/>
          <w:sz w:val="24"/>
          <w:szCs w:val="24"/>
          <w:lang w:val="en-US" w:eastAsia="zh-CN"/>
        </w:rPr>
        <w:t>从核心素养培养的角度，何老师在教学中注重构建要素与要素之间、要素与整体之间的联系，对学生综合思维进行训练。杨老师的课例很好的体现了在过程中看问题的地理过程分析思路，在讲解的过程中注重过程分析思想的渗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sz w:val="24"/>
          <w:szCs w:val="24"/>
          <w:lang w:val="en-US" w:eastAsia="zh-CN"/>
        </w:rPr>
      </w:pPr>
      <w:r>
        <w:rPr>
          <w:rFonts w:hint="eastAsia"/>
          <w:sz w:val="24"/>
          <w:szCs w:val="24"/>
          <w:lang w:val="en-US" w:eastAsia="zh-CN"/>
        </w:rPr>
        <w:t xml:space="preserve"> </w:t>
      </w:r>
      <w:r>
        <w:rPr>
          <w:rFonts w:hint="default"/>
          <w:sz w:val="24"/>
          <w:szCs w:val="24"/>
          <w:lang w:val="en-US" w:eastAsia="zh-CN"/>
        </w:rPr>
        <w:drawing>
          <wp:inline distT="0" distB="0" distL="114300" distR="114300">
            <wp:extent cx="2567940" cy="1837055"/>
            <wp:effectExtent l="0" t="0" r="3810" b="10795"/>
            <wp:docPr id="10" name="图片 10" descr="C:/Users/TH/AppData/Local/Temp/picturescale_20191121113311/output_20191121113312.jpgoutput_2019112111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TH/AppData/Local/Temp/picturescale_20191121113311/output_20191121113312.jpgoutput_20191121113312"/>
                    <pic:cNvPicPr>
                      <a:picLocks noChangeAspect="1"/>
                    </pic:cNvPicPr>
                  </pic:nvPicPr>
                  <pic:blipFill>
                    <a:blip r:embed="rId8"/>
                    <a:srcRect t="9184" r="4765"/>
                    <a:stretch>
                      <a:fillRect/>
                    </a:stretch>
                  </pic:blipFill>
                  <pic:spPr>
                    <a:xfrm>
                      <a:off x="0" y="0"/>
                      <a:ext cx="2567940" cy="1837055"/>
                    </a:xfrm>
                    <a:prstGeom prst="rect">
                      <a:avLst/>
                    </a:prstGeom>
                  </pic:spPr>
                </pic:pic>
              </a:graphicData>
            </a:graphic>
          </wp:inline>
        </w:drawing>
      </w:r>
      <w:r>
        <w:rPr>
          <w:rFonts w:hint="default"/>
          <w:sz w:val="24"/>
          <w:szCs w:val="24"/>
          <w:lang w:val="en-US" w:eastAsia="zh-CN"/>
        </w:rPr>
        <w:drawing>
          <wp:inline distT="0" distB="0" distL="114300" distR="114300">
            <wp:extent cx="2567305" cy="1831340"/>
            <wp:effectExtent l="0" t="0" r="4445" b="16510"/>
            <wp:docPr id="11" name="图片 11" descr="C:/Users/TH/AppData/Local/Temp/picturescale_20191121113410/output_20191121113411.jpgoutput_2019112111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TH/AppData/Local/Temp/picturescale_20191121113410/output_20191121113411.jpgoutput_20191121113411"/>
                    <pic:cNvPicPr>
                      <a:picLocks noChangeAspect="1"/>
                    </pic:cNvPicPr>
                  </pic:nvPicPr>
                  <pic:blipFill>
                    <a:blip r:embed="rId9"/>
                    <a:srcRect l="-1083" t="4985" r="3502" b="3190"/>
                    <a:stretch>
                      <a:fillRect/>
                    </a:stretch>
                  </pic:blipFill>
                  <pic:spPr>
                    <a:xfrm>
                      <a:off x="0" y="0"/>
                      <a:ext cx="2567305" cy="18313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华文楷体" w:hAnsi="华文楷体" w:eastAsia="华文楷体" w:cs="华文楷体"/>
          <w:sz w:val="24"/>
          <w:szCs w:val="24"/>
          <w:lang w:val="en-US" w:eastAsia="zh-CN"/>
        </w:rPr>
      </w:pPr>
      <w:r>
        <w:rPr>
          <w:rFonts w:hint="eastAsia" w:ascii="华文楷体" w:hAnsi="华文楷体" w:eastAsia="华文楷体" w:cs="华文楷体"/>
          <w:sz w:val="24"/>
          <w:szCs w:val="24"/>
          <w:lang w:val="en-US" w:eastAsia="zh-CN"/>
        </w:rPr>
        <w:t>工作室成员及永安中学地理老师听评课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sz w:val="28"/>
          <w:szCs w:val="28"/>
          <w:lang w:val="en-US" w:eastAsia="zh-CN"/>
        </w:rPr>
      </w:pPr>
      <w:r>
        <w:rPr>
          <w:rFonts w:hint="eastAsia"/>
          <w:b/>
          <w:bCs/>
          <w:sz w:val="28"/>
          <w:szCs w:val="28"/>
          <w:lang w:val="en-US" w:eastAsia="zh-CN"/>
        </w:rPr>
        <w:t>三、专题讲座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r>
        <w:rPr>
          <w:rFonts w:hint="eastAsia"/>
          <w:sz w:val="24"/>
          <w:szCs w:val="24"/>
          <w:lang w:val="en-US" w:eastAsia="zh-CN"/>
        </w:rPr>
        <w:t>课例研讨结束后，为解决目前地理教师的普遍困惑“高中为什么要复习区域地理？这个不是初中的课程么？高中复习的区域地理跟初中所学的有没有区别呢？”工作室成员孟海军老师进行了题为“基于深度学习理论的区域地理复习策略”的专题讲座。首先，孟老师从“一体四层四翼”的高考评价体系和地理学科核心素养的要求中说明了区域地理教学的重要性。紧接着，孟老师结合自己的教学实际，提出三条区域地理教学的实施策略：梳理核心概念、教材知识重构、案例教学。最后，孟老师强调无论是通过梳理核心概念，还是通过教材知识重构，以及通过案例教学，最重要的是教给学生区域地理学习的一般方法和途径，最终形成区域地理学习的基本思路；以此引导学生将认识区域的方法迁移到其它区域，达到举一反三的目的。在区域地理教学中，区域一直都是作为解决地理问题的载体，不应要求对相关区域特征背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4"/>
          <w:szCs w:val="24"/>
          <w:lang w:val="en-US" w:eastAsia="zh-CN"/>
        </w:rPr>
      </w:pPr>
      <w:r>
        <w:rPr>
          <w:rFonts w:hint="eastAsia"/>
          <w:sz w:val="24"/>
          <w:szCs w:val="24"/>
          <w:lang w:val="en-US" w:eastAsia="zh-CN"/>
        </w:rPr>
        <w:drawing>
          <wp:inline distT="0" distB="0" distL="114300" distR="114300">
            <wp:extent cx="3553460" cy="2312670"/>
            <wp:effectExtent l="0" t="0" r="8890" b="11430"/>
            <wp:docPr id="1" name="图片 1" descr="Cache_ad08eb13621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che_ad08eb136211638."/>
                    <pic:cNvPicPr>
                      <a:picLocks noChangeAspect="1"/>
                    </pic:cNvPicPr>
                  </pic:nvPicPr>
                  <pic:blipFill>
                    <a:blip r:embed="rId10">
                      <a:lum bright="6000"/>
                    </a:blip>
                    <a:srcRect t="11691" r="2236" b="3493"/>
                    <a:stretch>
                      <a:fillRect/>
                    </a:stretch>
                  </pic:blipFill>
                  <pic:spPr>
                    <a:xfrm>
                      <a:off x="0" y="0"/>
                      <a:ext cx="3553460" cy="231267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sz w:val="24"/>
          <w:szCs w:val="24"/>
          <w:lang w:val="en-US" w:eastAsia="zh-CN"/>
        </w:rPr>
      </w:pPr>
      <w:r>
        <w:rPr>
          <w:rFonts w:hint="eastAsia" w:ascii="华文楷体" w:hAnsi="华文楷体" w:eastAsia="华文楷体" w:cs="华文楷体"/>
          <w:sz w:val="24"/>
          <w:szCs w:val="24"/>
          <w:lang w:val="en-US" w:eastAsia="zh-CN"/>
        </w:rPr>
        <w:t>孟海军老师进行主题发言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r>
        <w:rPr>
          <w:rFonts w:hint="eastAsia"/>
          <w:sz w:val="24"/>
          <w:szCs w:val="24"/>
          <w:lang w:val="en-US" w:eastAsia="zh-CN"/>
        </w:rPr>
        <w:t>活动最后，刘光文导师刘光文导师对三老师的课例和主题发言进行了针对性点评。刘光文导师对永安中学何老师课堂的进步提出表扬，同时也指出认真解读新课程标准，并以此作为自身教学指导依据的重要性。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sz w:val="24"/>
          <w:szCs w:val="24"/>
          <w:lang w:val="en-US" w:eastAsia="zh-CN"/>
        </w:rPr>
      </w:pPr>
      <w:r>
        <w:rPr>
          <w:rFonts w:hint="eastAsia"/>
          <w:sz w:val="24"/>
          <w:szCs w:val="24"/>
          <w:lang w:val="en-US" w:eastAsia="zh-CN"/>
        </w:rPr>
        <w:t>本次的送教活动，让我们真实感受了不同学校、不同教师、不同学生的风采，加强了校际之间的联系，拉近了双流地理同仁们之间的距离。在相互学习交流中，共同发展，共同进步。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0C3CF"/>
    <w:multiLevelType w:val="singleLevel"/>
    <w:tmpl w:val="6F90C3C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B94CD3"/>
    <w:rsid w:val="1A2A4EDD"/>
    <w:rsid w:val="26AA310D"/>
    <w:rsid w:val="3A6058FF"/>
    <w:rsid w:val="3DBE4251"/>
    <w:rsid w:val="448036D3"/>
    <w:rsid w:val="76DD1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15"/>
    <w:qFormat/>
    <w:uiPriority w:val="0"/>
    <w:pPr>
      <w:widowControl/>
      <w:spacing w:before="100" w:beforeAutospacing="1" w:after="100" w:afterAutospacing="1"/>
      <w:jc w:val="left"/>
    </w:pPr>
    <w:rPr>
      <w:rFonts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dc:creator>
  <cp:lastModifiedBy>Vassago19</cp:lastModifiedBy>
  <dcterms:modified xsi:type="dcterms:W3CDTF">2019-11-21T05:54:03Z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