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90B" w:rsidRDefault="0005390B">
      <w:r>
        <w:rPr>
          <w:rFonts w:ascii="微软雅黑" w:eastAsia="微软雅黑" w:hAnsi="微软雅黑"/>
          <w:color w:val="333333"/>
          <w:szCs w:val="21"/>
          <w:lang w:val="en"/>
        </w:rPr>
        <w:fldChar w:fldCharType="begin"/>
      </w:r>
      <w:r>
        <w:rPr>
          <w:rFonts w:ascii="微软雅黑" w:eastAsia="微软雅黑" w:hAnsi="微软雅黑"/>
          <w:color w:val="333333"/>
          <w:szCs w:val="21"/>
          <w:lang w:val="en"/>
        </w:rPr>
        <w:instrText xml:space="preserve"> HYPERLINK "http://www.slypzx.com/studio.php/index/content/id/18680" \t "_blank" </w:instrText>
      </w:r>
      <w:r>
        <w:rPr>
          <w:rFonts w:ascii="微软雅黑" w:eastAsia="微软雅黑" w:hAnsi="微软雅黑"/>
          <w:color w:val="333333"/>
          <w:szCs w:val="21"/>
          <w:lang w:val="en"/>
        </w:rPr>
        <w:fldChar w:fldCharType="separate"/>
      </w:r>
      <w:r>
        <w:rPr>
          <w:rStyle w:val="a3"/>
          <w:rFonts w:ascii="微软雅黑" w:eastAsia="微软雅黑" w:hAnsi="微软雅黑" w:hint="eastAsia"/>
          <w:szCs w:val="21"/>
          <w:lang w:val="en"/>
        </w:rPr>
        <w:t>张志勇工作室——2018年1</w:t>
      </w:r>
      <w:r>
        <w:rPr>
          <w:rStyle w:val="a3"/>
          <w:rFonts w:ascii="微软雅黑" w:eastAsia="微软雅黑" w:hAnsi="微软雅黑"/>
          <w:szCs w:val="21"/>
          <w:lang w:val="en"/>
        </w:rPr>
        <w:t>1</w:t>
      </w:r>
      <w:r>
        <w:rPr>
          <w:rStyle w:val="a3"/>
          <w:rFonts w:ascii="微软雅黑" w:eastAsia="微软雅黑" w:hAnsi="微软雅黑" w:hint="eastAsia"/>
          <w:szCs w:val="21"/>
          <w:lang w:val="en"/>
        </w:rPr>
        <w:t>月</w:t>
      </w:r>
      <w:r>
        <w:rPr>
          <w:rStyle w:val="a3"/>
          <w:rFonts w:ascii="微软雅黑" w:eastAsia="微软雅黑" w:hAnsi="微软雅黑"/>
          <w:szCs w:val="21"/>
          <w:lang w:val="en"/>
        </w:rPr>
        <w:t>9</w:t>
      </w:r>
      <w:r>
        <w:rPr>
          <w:rStyle w:val="a3"/>
          <w:rFonts w:ascii="微软雅黑" w:eastAsia="微软雅黑" w:hAnsi="微软雅黑" w:hint="eastAsia"/>
          <w:szCs w:val="21"/>
          <w:lang w:val="en"/>
        </w:rPr>
        <w:t>日工作简讯</w:t>
      </w:r>
      <w:r>
        <w:rPr>
          <w:rFonts w:ascii="微软雅黑" w:eastAsia="微软雅黑" w:hAnsi="微软雅黑"/>
          <w:color w:val="333333"/>
          <w:szCs w:val="21"/>
          <w:lang w:val="en"/>
        </w:rPr>
        <w:fldChar w:fldCharType="end"/>
      </w:r>
    </w:p>
    <w:p w:rsidR="0005390B" w:rsidRPr="0005390B" w:rsidRDefault="0005390B" w:rsidP="0005390B"/>
    <w:p w:rsidR="0005390B" w:rsidRDefault="0005390B" w:rsidP="0005390B"/>
    <w:p w:rsidR="0005390B" w:rsidRDefault="0005390B" w:rsidP="0005390B">
      <w:pPr>
        <w:ind w:firstLineChars="600" w:firstLine="1687"/>
        <w:rPr>
          <w:rFonts w:eastAsia="宋体"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迎战高考，查漏补缺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高三教学研讨会</w:t>
      </w:r>
    </w:p>
    <w:p w:rsidR="0005390B" w:rsidRDefault="0005390B" w:rsidP="0005390B">
      <w:pPr>
        <w:spacing w:line="360" w:lineRule="auto"/>
        <w:ind w:firstLineChars="400" w:firstLine="960"/>
        <w:outlineLvl w:val="1"/>
        <w:rPr>
          <w:rFonts w:ascii="宋体" w:eastAsia="宋体" w:hAnsi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仿宋" w:eastAsia="仿宋" w:hAnsi="仿宋" w:cs="仿宋" w:hint="eastAsia"/>
          <w:sz w:val="24"/>
          <w:szCs w:val="28"/>
        </w:rPr>
        <w:t xml:space="preserve">                    </w:t>
      </w:r>
      <w:bookmarkStart w:id="0" w:name="_Toc6871"/>
      <w:bookmarkStart w:id="1" w:name="_Toc533727225"/>
      <w:r>
        <w:rPr>
          <w:rFonts w:ascii="仿宋" w:eastAsia="仿宋" w:hAnsi="仿宋" w:cs="仿宋" w:hint="eastAsia"/>
          <w:sz w:val="24"/>
          <w:szCs w:val="28"/>
        </w:rPr>
        <w:t>——</w:t>
      </w:r>
      <w:r>
        <w:rPr>
          <w:rFonts w:ascii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冲刺高考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，</w:t>
      </w:r>
      <w:r>
        <w:rPr>
          <w:rFonts w:ascii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砥砺前行</w:t>
      </w:r>
      <w:bookmarkEnd w:id="0"/>
      <w:bookmarkEnd w:id="1"/>
    </w:p>
    <w:p w:rsidR="0005390B" w:rsidRDefault="0005390B" w:rsidP="0005390B">
      <w:pPr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时    间：2018年11月9日上午8.30</w:t>
      </w:r>
    </w:p>
    <w:p w:rsidR="0005390B" w:rsidRDefault="0005390B" w:rsidP="0005390B">
      <w:pPr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地    点： 双流艺体中学</w:t>
      </w:r>
    </w:p>
    <w:p w:rsidR="0005390B" w:rsidRDefault="0005390B" w:rsidP="0005390B">
      <w:pPr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参会人员：张志勇工作室全体学员</w:t>
      </w:r>
    </w:p>
    <w:p w:rsidR="0005390B" w:rsidRDefault="0005390B" w:rsidP="0005390B">
      <w:pPr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主讲人：张志勇</w:t>
      </w:r>
    </w:p>
    <w:p w:rsidR="0005390B" w:rsidRDefault="0005390B" w:rsidP="0005390B">
      <w:pPr>
        <w:rPr>
          <w:rFonts w:hint="eastAsia"/>
        </w:rPr>
      </w:pPr>
    </w:p>
    <w:p w:rsidR="0005390B" w:rsidRDefault="0005390B" w:rsidP="0005390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2018年11月10日上午，在导师张志勇的组织下，张志勇名师工作室学员李发友、李晓燕、陈意、何凤、王章玉、赵俊康、赵梓诚、漆帅、杨君秀、夏江来、刘永宏开展了一场美术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组教学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研讨改革发展会。教学研讨主要围绕高考美术教学改革，模拟考试工作安排，高三教学交流教研以及接下来的课程作安排。</w:t>
      </w:r>
    </w:p>
    <w:p w:rsidR="0005390B" w:rsidRDefault="0005390B" w:rsidP="0005390B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</w:p>
    <w:p w:rsidR="0005390B" w:rsidRDefault="0005390B" w:rsidP="0005390B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目的：有利于教师发展 有利于教师培训，有利于学生成绩提升。</w:t>
      </w:r>
    </w:p>
    <w:p w:rsidR="0005390B" w:rsidRDefault="0005390B" w:rsidP="0005390B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会议主要内容：</w:t>
      </w:r>
    </w:p>
    <w:p w:rsidR="0005390B" w:rsidRDefault="0005390B" w:rsidP="0005390B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高三集训动员。充满调动学生的积极性，鼓励学生，砥砺前行，不忘初心。</w:t>
      </w:r>
    </w:p>
    <w:p w:rsidR="0005390B" w:rsidRDefault="0005390B" w:rsidP="0005390B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高三课堂巡视的教学交流，每个老师讲解自己的素描速写色彩的教学方法，老师之间沟通，交流教学经验 </w:t>
      </w:r>
    </w:p>
    <w:p w:rsidR="0005390B" w:rsidRDefault="0005390B" w:rsidP="0005390B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高三第三次模拟考试考场安排，双流艺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体中学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文化教室和专业教室备考，每个考场50个考试，注意事项：把自己的物品放在讲台，水池下.教室平均32人，把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范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画遮挡好，叮嘱学生的注意事项，条形码不要污损. 做好第三次模拟考试的安排接待工作。</w:t>
      </w:r>
    </w:p>
    <w:p w:rsidR="0007757F" w:rsidRPr="0005390B" w:rsidRDefault="0007757F" w:rsidP="0005390B">
      <w:pPr>
        <w:ind w:firstLineChars="200" w:firstLine="420"/>
      </w:pPr>
      <w:bookmarkStart w:id="2" w:name="_GoBack"/>
      <w:bookmarkEnd w:id="2"/>
    </w:p>
    <w:sectPr w:rsidR="0007757F" w:rsidRPr="00053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B"/>
    <w:rsid w:val="0005390B"/>
    <w:rsid w:val="0007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B1FE"/>
  <w15:chartTrackingRefBased/>
  <w15:docId w15:val="{22BBD750-CC5B-421C-9D9C-8F28DD74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90B"/>
    <w:rPr>
      <w:strike w:val="0"/>
      <w:dstrike w:val="0"/>
      <w:color w:val="1B1B1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hello~zzc</dc:creator>
  <cp:keywords/>
  <dc:description/>
  <cp:lastModifiedBy>hello~zzc</cp:lastModifiedBy>
  <cp:revision>1</cp:revision>
  <dcterms:created xsi:type="dcterms:W3CDTF">2018-12-27T18:31:00Z</dcterms:created>
  <dcterms:modified xsi:type="dcterms:W3CDTF">2018-12-27T18:37:00Z</dcterms:modified>
</cp:coreProperties>
</file>