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0" w:line="278" w:lineRule="auto"/>
        <w:ind w:right="5727" w:firstLine="0"/>
      </w:pPr>
      <w:r>
        <w:t>团结报</w:t>
      </w:r>
      <w:r>
        <w:rPr>
          <w:rFonts w:ascii="Times New Roman" w:eastAsia="Times New Roman"/>
        </w:rPr>
        <w:t xml:space="preserve">/2017 </w:t>
      </w:r>
      <w:r>
        <w:t>年</w:t>
      </w:r>
      <w:r>
        <w:rPr>
          <w:rFonts w:ascii="Times New Roman" w:eastAsia="Times New Roman"/>
        </w:rPr>
        <w:t xml:space="preserve">/2 </w:t>
      </w:r>
      <w:r>
        <w:t>月</w:t>
      </w:r>
      <w:r>
        <w:rPr>
          <w:rFonts w:ascii="Times New Roman" w:eastAsia="Times New Roman"/>
        </w:rPr>
        <w:t xml:space="preserve">/11 </w:t>
      </w:r>
      <w:r>
        <w:t>日</w:t>
      </w:r>
      <w:r>
        <w:rPr>
          <w:rFonts w:ascii="Times New Roman" w:eastAsia="Times New Roman"/>
        </w:rPr>
        <w:t>/</w:t>
      </w:r>
      <w:r>
        <w:t xml:space="preserve">第 </w:t>
      </w:r>
      <w:r>
        <w:rPr>
          <w:rFonts w:ascii="Times New Roman" w:eastAsia="Times New Roman"/>
        </w:rPr>
        <w:t xml:space="preserve">005 </w:t>
      </w:r>
      <w:r>
        <w:t>版文化周刊 文化纵横</w:t>
      </w:r>
    </w:p>
    <w:p>
      <w:pPr>
        <w:pStyle w:val="2"/>
        <w:spacing w:before="10"/>
        <w:ind w:left="0" w:firstLine="0"/>
        <w:rPr>
          <w:sz w:val="17"/>
        </w:rPr>
      </w:pPr>
    </w:p>
    <w:p>
      <w:pPr>
        <w:spacing w:before="54"/>
        <w:ind w:left="2691" w:right="0" w:firstLine="0"/>
        <w:jc w:val="left"/>
        <w:rPr>
          <w:b/>
          <w:sz w:val="33"/>
        </w:rPr>
      </w:pPr>
      <w:r>
        <w:rPr>
          <w:b/>
          <w:sz w:val="33"/>
        </w:rPr>
        <w:t>细数“心灵鸡汤”几宗罪</w:t>
      </w:r>
    </w:p>
    <w:p>
      <w:pPr>
        <w:spacing w:before="300"/>
        <w:ind w:left="4256" w:right="4353" w:firstLine="0"/>
        <w:jc w:val="center"/>
        <w:rPr>
          <w:sz w:val="24"/>
        </w:rPr>
      </w:pPr>
      <w:r>
        <w:rPr>
          <w:sz w:val="24"/>
        </w:rPr>
        <w:t>谢琰</w:t>
      </w:r>
    </w:p>
    <w:p>
      <w:pPr>
        <w:pStyle w:val="2"/>
        <w:ind w:left="0" w:firstLine="0"/>
        <w:rPr>
          <w:sz w:val="26"/>
        </w:rPr>
      </w:pPr>
    </w:p>
    <w:p>
      <w:pPr>
        <w:pStyle w:val="2"/>
        <w:spacing w:before="7"/>
        <w:ind w:left="0" w:firstLine="0"/>
        <w:rPr>
          <w:sz w:val="24"/>
        </w:rPr>
      </w:pPr>
    </w:p>
    <w:p>
      <w:pPr>
        <w:pStyle w:val="2"/>
        <w:spacing w:line="278" w:lineRule="auto"/>
        <w:ind w:right="205"/>
        <w:jc w:val="both"/>
      </w:pPr>
      <w:r>
        <w:rPr>
          <w:spacing w:val="-5"/>
        </w:rPr>
        <w:t>“心灵鸡汤”盛行多年，如今又沦落到广为诟病的地步。人们大多读过心灵鸡汤，可是，你</w:t>
      </w:r>
      <w:r>
        <w:rPr>
          <w:spacing w:val="3"/>
        </w:rPr>
        <w:t>真的知道它的来龙去脉吗？你了解它的传播特征吗？你有没有思考过它的社会影响？你自己真的没有写过“鸡汤文”吗？鸡年了，我们一起聊聊“心灵鸡汤”——</w:t>
      </w:r>
    </w:p>
    <w:p>
      <w:pPr>
        <w:pStyle w:val="2"/>
        <w:spacing w:line="269" w:lineRule="exact"/>
        <w:ind w:left="531" w:firstLine="0"/>
      </w:pPr>
      <w:r>
        <w:t>廉价的“智慧”</w:t>
      </w:r>
    </w:p>
    <w:p>
      <w:pPr>
        <w:pStyle w:val="2"/>
        <w:spacing w:before="43" w:line="278" w:lineRule="auto"/>
        <w:ind w:right="205"/>
        <w:jc w:val="both"/>
      </w:pPr>
      <w:r>
        <w:rPr>
          <w:spacing w:val="-13"/>
        </w:rPr>
        <w:t>“心灵鸡汤”，原是美国人杰克</w:t>
      </w:r>
      <w:r>
        <w:rPr>
          <w:spacing w:val="-33"/>
        </w:rPr>
        <w:t>·</w:t>
      </w:r>
      <w:r>
        <w:rPr>
          <w:spacing w:val="-5"/>
        </w:rPr>
        <w:t>坎菲尔德编著的一个系列丛书，英文名叫“</w:t>
      </w:r>
      <w:r>
        <w:rPr>
          <w:rFonts w:ascii="Times New Roman" w:hAnsi="Times New Roman" w:eastAsia="Times New Roman"/>
        </w:rPr>
        <w:t>Chicken Soup for the</w:t>
      </w:r>
      <w:r>
        <w:rPr>
          <w:rFonts w:ascii="Times New Roman" w:hAnsi="Times New Roman" w:eastAsia="Times New Roman"/>
          <w:spacing w:val="-13"/>
        </w:rPr>
        <w:t xml:space="preserve">  </w:t>
      </w:r>
      <w:r>
        <w:rPr>
          <w:rFonts w:ascii="Times New Roman" w:hAnsi="Times New Roman" w:eastAsia="Times New Roman"/>
          <w:w w:val="99"/>
        </w:rPr>
        <w:t>S</w:t>
      </w:r>
      <w:r>
        <w:rPr>
          <w:rFonts w:ascii="Times New Roman" w:hAnsi="Times New Roman" w:eastAsia="Times New Roman"/>
          <w:spacing w:val="-1"/>
          <w:w w:val="99"/>
        </w:rPr>
        <w:t>o</w:t>
      </w:r>
      <w:r>
        <w:rPr>
          <w:rFonts w:ascii="Times New Roman" w:hAnsi="Times New Roman" w:eastAsia="Times New Roman"/>
        </w:rPr>
        <w:t>u</w:t>
      </w:r>
      <w:r>
        <w:rPr>
          <w:rFonts w:ascii="Times New Roman" w:hAnsi="Times New Roman" w:eastAsia="Times New Roman"/>
          <w:spacing w:val="-1"/>
        </w:rPr>
        <w:t>l</w:t>
      </w:r>
      <w:r>
        <w:rPr>
          <w:spacing w:val="-12"/>
        </w:rPr>
        <w:t>”。此人后来又编了很多“成功学”的畅销书。鉴今而知昔，就知道“喝鸡汤”是“走向</w:t>
      </w:r>
      <w:r>
        <w:rPr>
          <w:spacing w:val="-3"/>
        </w:rPr>
        <w:t>成功”的准备阶段，而“成功学”其实是高级阶段的“鸡汤文”，更浓更带劲而已。二者的目的</w:t>
      </w:r>
      <w:r>
        <w:rPr>
          <w:spacing w:val="-10"/>
        </w:rPr>
        <w:t>都是：让读者获得廉价的“智慧”。</w:t>
      </w:r>
    </w:p>
    <w:p>
      <w:pPr>
        <w:pStyle w:val="2"/>
        <w:spacing w:line="278" w:lineRule="auto"/>
        <w:ind w:right="100"/>
      </w:pPr>
      <w:r>
        <w:rPr>
          <w:spacing w:val="-4"/>
        </w:rPr>
        <w:t>智慧是文化积淀而来。文化积淀，既会留下智慧，也会带来负担和愚昧。美国人的技术是很</w:t>
      </w:r>
      <w:r>
        <w:rPr>
          <w:spacing w:val="-9"/>
        </w:rPr>
        <w:t>先进的，因为全是适应时局而新造的，不曾背负沉重的传统，而“智商”，是为这历程所急需的。</w:t>
      </w:r>
      <w:r>
        <w:rPr>
          <w:spacing w:val="-17"/>
        </w:rPr>
        <w:t>归根结底，“智商”靠的是随机应变，“智慧”靠的是深谋远虑。未来的世界，到底需要“快”的</w:t>
      </w:r>
    </w:p>
    <w:p>
      <w:pPr>
        <w:pStyle w:val="2"/>
        <w:spacing w:line="278" w:lineRule="auto"/>
        <w:ind w:right="193" w:firstLine="0"/>
        <w:jc w:val="both"/>
      </w:pPr>
      <w:r>
        <w:rPr>
          <w:spacing w:val="-17"/>
        </w:rPr>
        <w:t>“智商”，还是“慢”的“智慧”，我看不清。但在当今，显然是“快”的“智商”占据主导了，</w:t>
      </w:r>
      <w:r>
        <w:rPr>
          <w:spacing w:val="-5"/>
        </w:rPr>
        <w:t>这是美国文化推行全球的必然结果。所以，“鸡汤”始于美国，实在是顺理成章——美国人喜欢</w:t>
      </w:r>
      <w:r>
        <w:rPr>
          <w:spacing w:val="-9"/>
        </w:rPr>
        <w:t>这种轻巧好用、迅速见效的小聪明，他们骨子里都有“智商崇拜”。</w:t>
      </w:r>
    </w:p>
    <w:p>
      <w:pPr>
        <w:pStyle w:val="2"/>
        <w:spacing w:line="278" w:lineRule="auto"/>
        <w:ind w:right="206"/>
        <w:jc w:val="both"/>
      </w:pPr>
      <w:r>
        <w:rPr>
          <w:spacing w:val="-15"/>
        </w:rPr>
        <w:t>可悲的是，“智商”恰恰是不可学的。因为，但凡是随机应变的“智商”，都不可复制。乔布</w:t>
      </w:r>
      <w:r>
        <w:rPr>
          <w:spacing w:val="-4"/>
        </w:rPr>
        <w:t>斯的经验，只属于乔布斯。马云的经验，只属于马云。当马云开始谈经验的时候，谈的都是“废</w:t>
      </w:r>
      <w:r>
        <w:rPr>
          <w:spacing w:val="-16"/>
        </w:rPr>
        <w:t>品”，他真正的“经验”，还在运用的途中千变万化呢。</w:t>
      </w:r>
    </w:p>
    <w:p>
      <w:pPr>
        <w:pStyle w:val="2"/>
        <w:spacing w:line="269" w:lineRule="exact"/>
        <w:ind w:left="531" w:firstLine="0"/>
      </w:pPr>
      <w:r>
        <w:t>“四海鸡汤”皆兄弟</w:t>
      </w:r>
    </w:p>
    <w:p>
      <w:pPr>
        <w:pStyle w:val="2"/>
        <w:spacing w:before="41" w:line="278" w:lineRule="auto"/>
        <w:ind w:right="101"/>
      </w:pPr>
      <w:r>
        <w:t>随便列几本杰克</w:t>
      </w:r>
      <w:r>
        <w:rPr>
          <w:spacing w:val="-4"/>
        </w:rPr>
        <w:t>·</w:t>
      </w:r>
      <w:r>
        <w:rPr>
          <w:spacing w:val="-16"/>
        </w:rPr>
        <w:t>坎菲尔德的书名吧：《爱上生命中的不完美》《智慧的觉醒：激发无限潜能</w:t>
      </w:r>
      <w:r>
        <w:rPr>
          <w:spacing w:val="-36"/>
        </w:rPr>
        <w:t xml:space="preserve">的 </w:t>
      </w:r>
      <w:r>
        <w:rPr>
          <w:rFonts w:ascii="Times New Roman" w:hAnsi="Times New Roman" w:eastAsia="Times New Roman"/>
        </w:rPr>
        <w:t>27</w:t>
      </w:r>
      <w:r>
        <w:rPr>
          <w:rFonts w:ascii="Times New Roman" w:hAnsi="Times New Roman" w:eastAsia="Times New Roman"/>
          <w:spacing w:val="-2"/>
        </w:rPr>
        <w:t xml:space="preserve"> </w:t>
      </w:r>
      <w:r>
        <w:t>个法则</w:t>
      </w:r>
      <w:r>
        <w:rPr>
          <w:spacing w:val="-16"/>
        </w:rPr>
        <w:t>》《谢谢你陪我走过黑暗</w:t>
      </w:r>
      <w:r>
        <w:rPr>
          <w:spacing w:val="-17"/>
        </w:rPr>
        <w:t xml:space="preserve">》《专注的力量：实现个人成功和财务自由的 </w:t>
      </w:r>
      <w:r>
        <w:rPr>
          <w:rFonts w:ascii="Times New Roman" w:hAnsi="Times New Roman" w:eastAsia="Times New Roman"/>
        </w:rPr>
        <w:t>10</w:t>
      </w:r>
      <w:r>
        <w:rPr>
          <w:rFonts w:ascii="Times New Roman" w:hAnsi="Times New Roman" w:eastAsia="Times New Roman"/>
          <w:spacing w:val="-2"/>
        </w:rPr>
        <w:t xml:space="preserve"> </w:t>
      </w:r>
      <w:r>
        <w:t>个专注策略》</w:t>
      </w:r>
    </w:p>
    <w:p>
      <w:pPr>
        <w:pStyle w:val="2"/>
        <w:spacing w:line="269" w:lineRule="exact"/>
        <w:ind w:firstLine="0"/>
      </w:pPr>
      <w:r>
        <w:t>《一切都是最好的安排》《发现快乐的人生课》《从现在开始好好爱自己》</w:t>
      </w:r>
    </w:p>
    <w:p>
      <w:pPr>
        <w:pStyle w:val="2"/>
        <w:spacing w:before="43" w:line="278" w:lineRule="auto"/>
        <w:ind w:right="205"/>
        <w:jc w:val="both"/>
      </w:pPr>
      <w:r>
        <w:rPr>
          <w:spacing w:val="-5"/>
        </w:rPr>
        <w:t>诸位，读这些名目，有没有一种恍惚的感觉——我是在读席慕蓉、刘墉、林清玄吗？还是在</w:t>
      </w:r>
      <w:r>
        <w:rPr>
          <w:spacing w:val="-17"/>
        </w:rPr>
        <w:t>翻看《读者》《知音》《妇女之友》？还是在听于丹老师讲《论语心得》？还是在书店面对琳琅满</w:t>
      </w:r>
      <w:r>
        <w:rPr>
          <w:spacing w:val="-10"/>
        </w:rPr>
        <w:t>目的《卡耐基》？于是我的心头涌起一句话：“四海鸡汤，皆兄弟也。”</w:t>
      </w:r>
    </w:p>
    <w:p>
      <w:pPr>
        <w:pStyle w:val="2"/>
        <w:spacing w:line="278" w:lineRule="auto"/>
        <w:ind w:right="102"/>
      </w:pPr>
      <w:r>
        <w:rPr>
          <w:spacing w:val="-4"/>
        </w:rPr>
        <w:t>为什么“鸡汤”的中国化如此迅速且顺利呢？原因之一，当然是中国社会发展了，美国人遇见的问题和困惑，咱们也遇见了。原因之二是文学内部的。中国散文原本是以“载道”为主流，</w:t>
      </w:r>
    </w:p>
    <w:p>
      <w:pPr>
        <w:pStyle w:val="2"/>
        <w:spacing w:line="269" w:lineRule="exact"/>
        <w:ind w:firstLine="0"/>
      </w:pPr>
      <w:r>
        <w:rPr>
          <w:spacing w:val="-6"/>
        </w:rPr>
        <w:t>“性灵”传统只是末流。五四以来，“性灵”被夸大了。新中国以来，又有很多现代学者，提倡</w:t>
      </w:r>
    </w:p>
    <w:p>
      <w:pPr>
        <w:pStyle w:val="2"/>
        <w:spacing w:before="43" w:line="278" w:lineRule="auto"/>
        <w:ind w:right="101" w:firstLine="0"/>
      </w:pPr>
      <w:r>
        <w:rPr>
          <w:spacing w:val="-16"/>
        </w:rPr>
        <w:t>“艺术散文”或“美文”的观念，加上新时期以来港台文学的涌入，遂使当代散文文坛，遍布“性</w:t>
      </w:r>
      <w:r>
        <w:rPr>
          <w:spacing w:val="-13"/>
        </w:rPr>
        <w:t xml:space="preserve">灵”之音和浮靡之调，为“鸡汤”的输入奠定了很好的文体基础。我总觉得，余秋雨之所以能火， </w:t>
      </w:r>
      <w:r>
        <w:rPr>
          <w:spacing w:val="-12"/>
        </w:rPr>
        <w:t>因为他是“性灵”的反动。“性灵”的文章读多了，如同食甜吃不饱，总想来一道“硬菜”。余秋</w:t>
      </w:r>
      <w:r>
        <w:rPr>
          <w:spacing w:val="-19"/>
        </w:rPr>
        <w:t>雨散文里的历史知识，以及或多或少的“载道”“明志”的迹象，恰好应了这个急。“性灵”被夸</w:t>
      </w:r>
      <w:r>
        <w:rPr>
          <w:spacing w:val="-25"/>
        </w:rPr>
        <w:t>大了，于是引来了“鸡汤”。“鸡汤”火了，反过来又糟蹋了“性灵”。</w:t>
      </w:r>
    </w:p>
    <w:p>
      <w:pPr>
        <w:pStyle w:val="2"/>
        <w:spacing w:line="278" w:lineRule="auto"/>
        <w:ind w:right="203"/>
        <w:jc w:val="both"/>
      </w:pPr>
      <w:r>
        <w:rPr>
          <w:spacing w:val="-5"/>
        </w:rPr>
        <w:t xml:space="preserve">当我翻开光明日报出版社 </w:t>
      </w:r>
      <w:r>
        <w:rPr>
          <w:rFonts w:ascii="Times New Roman" w:hAnsi="Times New Roman" w:eastAsia="Times New Roman"/>
        </w:rPr>
        <w:t xml:space="preserve">2005 </w:t>
      </w:r>
      <w:r>
        <w:rPr>
          <w:spacing w:val="-12"/>
        </w:rPr>
        <w:t>年出版的《心灵的鸡汤》，惊人地发现里面编入了一些真正的</w:t>
      </w:r>
      <w:r>
        <w:rPr>
          <w:spacing w:val="-24"/>
        </w:rPr>
        <w:t>好文章，比如玛丽居里《怀念皮埃尔》，史铁生《秋天的怀念》，舒乙《父子情》，以及妇孺皆知</w:t>
      </w:r>
      <w:r>
        <w:rPr>
          <w:spacing w:val="-18"/>
        </w:rPr>
        <w:t>的朱自清《背影》。我感到心里咯噔一下：难道说，古今中外一切书写日常人情和个人性情的文</w:t>
      </w:r>
      <w:r>
        <w:rPr>
          <w:spacing w:val="-5"/>
        </w:rPr>
        <w:t>章，都有沦为“鸡汤”的危险吗？看来，“鸡汤”在中国化之后，又扩大化了。扩大化，意味着</w:t>
      </w:r>
    </w:p>
    <w:p>
      <w:pPr>
        <w:spacing w:after="0" w:line="278" w:lineRule="auto"/>
        <w:jc w:val="both"/>
        <w:sectPr>
          <w:footerReference r:id="rId3" w:type="default"/>
          <w:type w:val="continuous"/>
          <w:pgSz w:w="11910" w:h="16840"/>
          <w:pgMar w:top="1400" w:right="1340" w:bottom="1140" w:left="1440" w:header="720" w:footer="958" w:gutter="0"/>
          <w:pgNumType w:start="1"/>
        </w:sectPr>
      </w:pPr>
    </w:p>
    <w:p>
      <w:pPr>
        <w:pStyle w:val="2"/>
        <w:spacing w:before="60"/>
        <w:ind w:firstLine="0"/>
      </w:pPr>
      <w:r>
        <w:t>善恶美丑的标准正在遭受挑战，需要我们分辨良莠。</w:t>
      </w:r>
    </w:p>
    <w:p>
      <w:pPr>
        <w:pStyle w:val="2"/>
        <w:spacing w:before="43"/>
        <w:ind w:left="531" w:firstLine="0"/>
      </w:pPr>
      <w:r>
        <w:rPr>
          <w:spacing w:val="-1"/>
        </w:rPr>
        <w:t>“鸡汤文”的两种类型两个特征</w:t>
      </w:r>
    </w:p>
    <w:p>
      <w:pPr>
        <w:pStyle w:val="2"/>
        <w:spacing w:before="43" w:line="278" w:lineRule="auto"/>
        <w:ind w:right="205"/>
        <w:jc w:val="both"/>
      </w:pPr>
      <w:r>
        <w:rPr>
          <w:spacing w:val="-5"/>
        </w:rPr>
        <w:t>四海之内皆鸡汤，大海航行靠舵手。坎菲尔德不愧是鸡汤老祖。他一生创作的前后期，恰好</w:t>
      </w:r>
      <w:r>
        <w:rPr>
          <w:spacing w:val="-4"/>
        </w:rPr>
        <w:t>代表了“鸡汤文”的两种基本类型：心理抚慰型和激励奋斗型。在表达方式上，他也塑造了“鸡汤文”的基本文体特征：煽情式的讲故事和过度的阐释。综合来看这两种类型、两个特征，我们</w:t>
      </w:r>
      <w:r>
        <w:t>可以总结出“鸡汤文”的可恶之处：</w:t>
      </w:r>
    </w:p>
    <w:p>
      <w:pPr>
        <w:pStyle w:val="2"/>
        <w:spacing w:line="278" w:lineRule="auto"/>
        <w:ind w:right="205"/>
        <w:jc w:val="both"/>
        <w:rPr>
          <w:b/>
          <w:bCs/>
        </w:rPr>
      </w:pPr>
      <w:r>
        <w:rPr>
          <w:b/>
          <w:bCs/>
          <w:spacing w:val="-11"/>
        </w:rPr>
        <w:t>一是“不真”。最典型的就是把一个俗不可耐的故事附会给名人，华盛顿、爱因斯坦、苏东</w:t>
      </w:r>
      <w:r>
        <w:rPr>
          <w:b/>
          <w:bCs/>
          <w:spacing w:val="-15"/>
        </w:rPr>
        <w:t>坡、某某禅师，都是“重灾区”。还有一种，是按固定套路瞎编故事，不顾情理和常识。比如《把</w:t>
      </w:r>
      <w:r>
        <w:rPr>
          <w:b/>
          <w:bCs/>
          <w:spacing w:val="-13"/>
        </w:rPr>
        <w:t>任何怀</w:t>
      </w:r>
      <w:bookmarkStart w:id="0" w:name="_GoBack"/>
      <w:bookmarkEnd w:id="0"/>
      <w:r>
        <w:rPr>
          <w:b/>
          <w:bCs/>
          <w:spacing w:val="-13"/>
        </w:rPr>
        <w:t>疑的思想驱逐掉》一文，写三只青蛙掉进了牛奶桶，第一只认命，直接等死；第二只仔细</w:t>
      </w:r>
      <w:r>
        <w:rPr>
          <w:b/>
          <w:bCs/>
          <w:spacing w:val="-4"/>
        </w:rPr>
        <w:t>思考了自己的能力，认为不行，于是自沉；第三只不停地蹬腿，兼之以自励，最终把牛奶搅拌成</w:t>
      </w:r>
      <w:r>
        <w:rPr>
          <w:b/>
          <w:bCs/>
        </w:rPr>
        <w:t>了奶油，于是跳出去了。</w:t>
      </w:r>
    </w:p>
    <w:p>
      <w:pPr>
        <w:pStyle w:val="2"/>
        <w:spacing w:line="278" w:lineRule="auto"/>
        <w:ind w:right="206"/>
        <w:jc w:val="both"/>
        <w:rPr>
          <w:b/>
          <w:bCs/>
        </w:rPr>
      </w:pPr>
      <w:r>
        <w:rPr>
          <w:b/>
          <w:bCs/>
          <w:spacing w:val="-16"/>
        </w:rPr>
        <w:t>二是“不美”。“鸡汤文”通常既没有内在美，也没有外在美，修饰都懒得修饰。于是我们常</w:t>
      </w:r>
      <w:r>
        <w:rPr>
          <w:b/>
          <w:bCs/>
          <w:spacing w:val="-15"/>
        </w:rPr>
        <w:t>常读到这样的语句：“无数的干戈，都化成了片片的玉帛。”他们的描写大抵是这个水平。</w:t>
      </w:r>
    </w:p>
    <w:p>
      <w:pPr>
        <w:pStyle w:val="2"/>
        <w:spacing w:line="278" w:lineRule="auto"/>
        <w:ind w:right="99"/>
        <w:rPr>
          <w:b/>
          <w:bCs/>
        </w:rPr>
      </w:pPr>
      <w:r>
        <w:rPr>
          <w:b/>
          <w:bCs/>
          <w:spacing w:val="-12"/>
        </w:rPr>
        <w:t>三是“偏执”，就是过度阐释，把特例当做常理。比如有人写一名工人想当作家，日夜写作，</w:t>
      </w:r>
      <w:r>
        <w:rPr>
          <w:b/>
          <w:bCs/>
          <w:spacing w:val="-4"/>
        </w:rPr>
        <w:t>但总被退稿，颓唐之际将文稿丢进垃圾桶，而他的夫人又从垃圾桶捡回来，鼓励他继续写，终于一炮而红。这个人的名字，叫做史提芬·金（美国畅销书作家</w:t>
      </w:r>
      <w:r>
        <w:rPr>
          <w:b/>
          <w:bCs/>
          <w:spacing w:val="-104"/>
        </w:rPr>
        <w:t>）</w:t>
      </w:r>
      <w:r>
        <w:rPr>
          <w:b/>
          <w:bCs/>
        </w:rPr>
        <w:t>。在绝大多数情况下，这样的写作只会一事无成。这就是励志故事的本质，因为任何一种选择，都只是特例，不是常理。</w:t>
      </w:r>
    </w:p>
    <w:p>
      <w:pPr>
        <w:pStyle w:val="2"/>
        <w:spacing w:line="278" w:lineRule="auto"/>
        <w:ind w:right="100"/>
        <w:jc w:val="both"/>
      </w:pPr>
      <w:r>
        <w:rPr>
          <w:spacing w:val="-3"/>
        </w:rPr>
        <w:t>所以，我们从“鸡汤文”那里，既学不到扎实的历史知识和真切的生活经验，也感受不到优</w:t>
      </w:r>
      <w:r>
        <w:rPr>
          <w:spacing w:val="-12"/>
        </w:rPr>
        <w:t>美的文辞，更无法获得真正的智慧。在美国，“鸡汤文”只是消费商品。而在中国，“鸡汤文”成</w:t>
      </w:r>
      <w:r>
        <w:rPr>
          <w:spacing w:val="-29"/>
        </w:rPr>
        <w:t>为学英语的教育读物甚至成为启蒙话语的一部分，这就是“僭越”。总之，“不真”“不美”“偏执”</w:t>
      </w:r>
    </w:p>
    <w:p>
      <w:pPr>
        <w:pStyle w:val="2"/>
        <w:spacing w:line="278" w:lineRule="auto"/>
        <w:ind w:left="531" w:right="4077" w:hanging="422"/>
      </w:pPr>
      <w:r>
        <w:rPr>
          <w:spacing w:val="-12"/>
        </w:rPr>
        <w:t>“僭越”，就是当下中国“鸡汤文”的四大可恶之处。</w:t>
      </w:r>
      <w:r>
        <w:t xml:space="preserve"> </w:t>
      </w:r>
      <w:r>
        <w:rPr>
          <w:spacing w:val="-13"/>
        </w:rPr>
        <w:t>“性灵”“启蒙”与载道</w:t>
      </w:r>
    </w:p>
    <w:p>
      <w:pPr>
        <w:pStyle w:val="2"/>
        <w:spacing w:line="278" w:lineRule="auto"/>
        <w:ind w:right="205"/>
        <w:jc w:val="both"/>
      </w:pPr>
      <w:r>
        <w:rPr>
          <w:spacing w:val="-15"/>
        </w:rPr>
        <w:t>前文说了，“鸡汤”与“性灵”有脱不去的干系。现在我们又可以说，“鸡汤”其实就是“假</w:t>
      </w:r>
      <w:r>
        <w:rPr>
          <w:spacing w:val="-23"/>
        </w:rPr>
        <w:t>性灵”“丑性灵”“无理性灵”。如果它真，它美，它有理，就是东坡小品，就是《西湖梦寻》，就</w:t>
      </w:r>
      <w:r>
        <w:t>是林语堂、周作人、沈从文、汪曾祺。</w:t>
      </w:r>
    </w:p>
    <w:p>
      <w:pPr>
        <w:pStyle w:val="2"/>
        <w:spacing w:line="278" w:lineRule="auto"/>
        <w:ind w:right="100"/>
      </w:pPr>
      <w:r>
        <w:rPr>
          <w:spacing w:val="-6"/>
        </w:rPr>
        <w:t>然而，即便是真、美、有理的“性灵”，它也有其影响的限度。它应该含蓄，低调，孤芳自</w:t>
      </w:r>
      <w:r>
        <w:rPr>
          <w:spacing w:val="-3"/>
        </w:rPr>
        <w:t>赏。它并不低人一等，但在任何话语体系中，它又必须退居一隅。往小了说，它的全部存在意义</w:t>
      </w:r>
      <w:r>
        <w:rPr>
          <w:spacing w:val="-10"/>
        </w:rPr>
        <w:t>就在于写出独特的“这一个”</w:t>
      </w:r>
      <w:r>
        <w:rPr>
          <w:rFonts w:ascii="Times New Roman" w:hAnsi="Times New Roman" w:eastAsia="Times New Roman"/>
          <w:spacing w:val="-23"/>
        </w:rPr>
        <w:t>;</w:t>
      </w:r>
      <w:r>
        <w:rPr>
          <w:spacing w:val="-10"/>
        </w:rPr>
        <w:t xml:space="preserve">往大了说，它又象征着自由的权利与空间。在某些特殊的历史时期， </w:t>
      </w:r>
      <w:r>
        <w:rPr>
          <w:spacing w:val="-4"/>
        </w:rPr>
        <w:t>它具有思想解放的意义，比如晚明，但在绝大多数时候，它居于支流，并对主流文学提供必要的心理支持与智慧支持。举例来说，宋代文学的光明磊落的气质，当然与士大夫的自由“性灵”有</w:t>
      </w:r>
      <w:r>
        <w:rPr>
          <w:spacing w:val="-14"/>
        </w:rPr>
        <w:t>关，但如果只有那么一点个体心性的表达，又不能成就宋代文学的恢弘深刻。换句话说，没有“性</w:t>
      </w:r>
      <w:r>
        <w:rPr>
          <w:spacing w:val="-12"/>
        </w:rPr>
        <w:t>灵”，就没有东坡小品的魅力</w:t>
      </w:r>
      <w:r>
        <w:rPr>
          <w:rFonts w:ascii="Times New Roman" w:hAnsi="Times New Roman" w:eastAsia="Times New Roman"/>
        </w:rPr>
        <w:t>;</w:t>
      </w:r>
      <w:r>
        <w:t>但若只有小品，东坡不成东坡。</w:t>
      </w:r>
    </w:p>
    <w:p>
      <w:pPr>
        <w:pStyle w:val="2"/>
        <w:spacing w:line="278" w:lineRule="auto"/>
        <w:ind w:right="101"/>
      </w:pPr>
      <w:r>
        <w:rPr>
          <w:spacing w:val="-25"/>
        </w:rPr>
        <w:t>在古代，“性灵”不能“载道”，正如在当今，“性灵”不宜“启蒙”。“载道”和“启蒙”所</w:t>
      </w:r>
      <w:r>
        <w:rPr>
          <w:spacing w:val="-10"/>
        </w:rPr>
        <w:t>需要的博大的知识、深沉的关怀、深刻的思想、醇厚的道德，是任何“性灵”文学都无法承担的。</w:t>
      </w:r>
    </w:p>
    <w:p>
      <w:pPr>
        <w:pStyle w:val="2"/>
        <w:spacing w:line="278" w:lineRule="auto"/>
        <w:ind w:right="99" w:firstLine="0"/>
      </w:pPr>
      <w:r>
        <w:rPr>
          <w:spacing w:val="-5"/>
        </w:rPr>
        <w:t>“真性灵”尚且如此，何况“假性灵”的“鸡汤”呢？所以，即便是具有一定水平的“鸡汤文”，只要它被当作启蒙的读物甚至宣讲的材料，就容易引人反感。一言以蔽之：站在“载道”和“启蒙”的角度来看，一切“性灵”文学都是“原罪”的。所以，鲁迅会怒批林语堂，郭沫若会大骂</w:t>
      </w:r>
      <w:r>
        <w:rPr>
          <w:spacing w:val="-13"/>
        </w:rPr>
        <w:t>沈从文。然而，事过境迁，我们还是觉得林语堂的文章、沈从文的小说，自有其永恒不朽的价值。</w:t>
      </w:r>
      <w:r>
        <w:rPr>
          <w:spacing w:val="-15"/>
        </w:rPr>
        <w:t>在战斗的年岁里，不“载道”，不“启蒙”，便是反动。而在和平时期，是否可以允许“启蒙”与 “性灵”双线并行、主次分明、互不干扰呢？</w:t>
      </w:r>
    </w:p>
    <w:p>
      <w:pPr>
        <w:pStyle w:val="2"/>
        <w:spacing w:line="278" w:lineRule="auto"/>
        <w:ind w:right="205"/>
        <w:jc w:val="both"/>
      </w:pPr>
      <w:r>
        <w:rPr>
          <w:spacing w:val="-4"/>
        </w:rPr>
        <w:t>所以，当我揭批完“鸡汤文”的四大可恶之处，我又认真想了想“鸡汤”存在的两种正面意义：一是现实意义。不论它多么可笑，但在某些人那里或在某些境遇中，就是能够抚慰人。我们常常被自己鄙视的东西所深深抚慰了，不是吗？比如《小苹果》。二是象征意义。不论“鸡汤” 多么可憎，我们也应该容忍它的存在。</w:t>
      </w:r>
    </w:p>
    <w:p>
      <w:pPr>
        <w:spacing w:after="0" w:line="278" w:lineRule="auto"/>
        <w:jc w:val="both"/>
        <w:sectPr>
          <w:pgSz w:w="11910" w:h="16840"/>
          <w:pgMar w:top="1400" w:right="1340" w:bottom="1140" w:left="1440" w:header="0" w:footer="958" w:gutter="0"/>
        </w:sectPr>
      </w:pPr>
    </w:p>
    <w:p>
      <w:pPr>
        <w:pStyle w:val="2"/>
        <w:spacing w:before="60"/>
        <w:ind w:left="531" w:firstLine="0"/>
      </w:pPr>
      <w:r>
        <w:t>集体炮制“鸡汤文”</w:t>
      </w:r>
    </w:p>
    <w:p>
      <w:pPr>
        <w:pStyle w:val="2"/>
        <w:spacing w:before="43" w:line="278" w:lineRule="auto"/>
        <w:ind w:right="205"/>
        <w:jc w:val="both"/>
      </w:pPr>
      <w:r>
        <w:rPr>
          <w:spacing w:val="-17"/>
        </w:rPr>
        <w:t>容忍“鸡汤”，并不意味着“纵容”。我们不希望一写抒发自我的文章就抱着“是否鸡汤”的</w:t>
      </w:r>
      <w:r>
        <w:rPr>
          <w:spacing w:val="-5"/>
        </w:rPr>
        <w:t>忐忑。我希望《励志故事集》里会出现真实可信的历史故事和血肉丰满的对话与自白。文章可以</w:t>
      </w:r>
      <w:r>
        <w:rPr>
          <w:spacing w:val="-15"/>
        </w:rPr>
        <w:t>不美，可以讲不清道理，但至少，请做到“真”。“不真”，是万恶之源。</w:t>
      </w:r>
    </w:p>
    <w:p>
      <w:pPr>
        <w:pStyle w:val="2"/>
        <w:spacing w:line="278" w:lineRule="auto"/>
        <w:ind w:right="191"/>
        <w:jc w:val="both"/>
      </w:pPr>
      <w:r>
        <w:t>欲求诸人，先求诸己。我反思了我中学时代的作文，有一篇文章，现在想来，就是“鸡汤” 无疑，整个故事纯是虚情假意。我从鲍尔吉·原野《月光手帕》中受了启发，写了以下故事：我在走廊中走过，墙上窗口漏下来一片月光，我误以为是手帕，于是去捡，但触到了冰凉的地面。我有点羞愧地继续走，回头发现一个小孩做了同样的动作。但是，他从口袋中掏出自己的白色手帕，铺在那片月光上面。我过去问他为何这样做。他说：“刚才我以为是手帕，去捡的时候，我失望了。现在我铺上真的手帕，这样别人就不会像我一样失落了。”</w:t>
      </w:r>
    </w:p>
    <w:p>
      <w:pPr>
        <w:pStyle w:val="2"/>
        <w:spacing w:line="278" w:lineRule="auto"/>
        <w:ind w:right="191"/>
        <w:jc w:val="both"/>
      </w:pPr>
      <w:r>
        <w:rPr>
          <w:spacing w:val="-1"/>
        </w:rPr>
        <w:t>我后面作了什么联想和说教，现在不记得了。也许相比于故事，说教还显得真情实感一些。</w:t>
      </w:r>
      <w:r>
        <w:rPr>
          <w:spacing w:val="-6"/>
        </w:rPr>
        <w:t>这就是十三四岁时的我写的一篇“鸡汤文”。在故事里，小孩不像小孩，我不像我。现在想来， 既觉得羞愧，也觉得坦然，因为那时候被人告知，作文就要这样假模假式地写，才是有技巧，有</w:t>
      </w:r>
      <w:r>
        <w:rPr>
          <w:spacing w:val="-10"/>
        </w:rPr>
        <w:t>深度。诸位，你们写过这样的“假文章”吗？而现在，没写过“假文章”、没读过“假文章”的人，或许还有？</w:t>
      </w:r>
    </w:p>
    <w:sectPr>
      <w:pgSz w:w="11910" w:h="16840"/>
      <w:pgMar w:top="1400" w:right="1340" w:bottom="1140" w:left="1440" w:header="0" w:footer="958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 w:firstLine="0"/>
      <w:rPr>
        <w:sz w:val="20"/>
      </w:rPr>
    </w:pPr>
    <w:r>
      <w:drawing>
        <wp:anchor distT="0" distB="0" distL="0" distR="0" simplePos="0" relativeHeight="268432384" behindDoc="1" locked="0" layoutInCell="1" allowOverlap="1">
          <wp:simplePos x="0" y="0"/>
          <wp:positionH relativeFrom="page">
            <wp:posOffset>260350</wp:posOffset>
          </wp:positionH>
          <wp:positionV relativeFrom="page">
            <wp:posOffset>10344785</wp:posOffset>
          </wp:positionV>
          <wp:extent cx="4692650" cy="12319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92650" cy="1231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0" distR="0" simplePos="0" relativeHeight="268432384" behindDoc="1" locked="0" layoutInCell="1" allowOverlap="1">
          <wp:simplePos x="0" y="0"/>
          <wp:positionH relativeFrom="page">
            <wp:posOffset>5097145</wp:posOffset>
          </wp:positionH>
          <wp:positionV relativeFrom="page">
            <wp:posOffset>10344785</wp:posOffset>
          </wp:positionV>
          <wp:extent cx="1082040" cy="123190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/>
                  <pic:cNvPicPr>
                    <a:picLocks noChangeAspect="1"/>
                  </pic:cNvPicPr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82040" cy="1231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line id="_x0000_s2049" o:spid="_x0000_s2049" o:spt="20" style="position:absolute;left:0pt;margin-left:88.5pt;margin-top:780.35pt;height:0pt;width:418.3pt;mso-position-horizontal-relative:page;mso-position-vertical-relative:page;z-index:-3072;mso-width-relative:page;mso-height-relative:page;" stroked="t" coordsize="21600,21600">
          <v:path arrowok="t"/>
          <v:fill focussize="0,0"/>
          <v:stroke weight="0.48pt" color="#000000"/>
          <v:imagedata o:title=""/>
          <o:lock v:ext="edit"/>
        </v:line>
      </w:pict>
    </w:r>
    <w:r>
      <w:pict>
        <v:shape id="_x0000_s2050" o:spid="_x0000_s2050" o:spt="202" type="#_x0000_t202" style="position:absolute;left:0pt;margin-left:445.7pt;margin-top:780pt;height:13.15pt;width:60.6pt;mso-position-horizontal-relative:page;mso-position-vertical-relative:page;z-index:-3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1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23"/>
                    <w:sz w:val="18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Calibri" w:eastAsia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/>
                    <w:sz w:val="18"/>
                  </w:rPr>
                  <w:t xml:space="preserve"> </w:t>
                </w:r>
                <w:r>
                  <w:rPr>
                    <w:spacing w:val="-12"/>
                    <w:sz w:val="18"/>
                  </w:rPr>
                  <w:t xml:space="preserve">页 共 </w:t>
                </w:r>
                <w:r>
                  <w:rPr>
                    <w:rFonts w:ascii="Calibri" w:eastAsia="Calibri"/>
                    <w:sz w:val="18"/>
                  </w:rPr>
                  <w:t xml:space="preserve">3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74CF0D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0" w:firstLine="421"/>
    </w:pPr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ScaleCrop>false</ScaleCrop>
  <LinksUpToDate>false</LinksUpToDate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2018-11-19T02:50:00Z</dcterms:created>
  <dc:creator>CNKI</dc:creator>
  <cp:lastModifiedBy>Administrator</cp:lastModifiedBy>
  <cp:lastPrinted>2018-11-19T03:02:47Z</cp:lastPrinted>
  <dcterms:modified xsi:type="dcterms:W3CDTF">2018-11-19T03:03:39Z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2017-04-08T00:00:00Z</vt:filetime>
  </property>
  <property fmtid="{D5CDD505-2E9C-101B-9397-08002B2CF9AE}" pid="3" name="Creator">
    <vt:lpwstr>ReaderEx_DIS 2.0.0 Build 3944</vt:lpwstr>
  </property>
  <property fmtid="{D5CDD505-2E9C-101B-9397-08002B2CF9AE}" pid="4" name="LastSaved">
    <vt:filetime>2017-04-08T00:00:00Z</vt:filetime>
  </property>
  <property fmtid="{D5CDD505-2E9C-101B-9397-08002B2CF9AE}" pid="5" name="KSOProductBuildVer">
    <vt:lpwstr>2052-10.1.0.7668</vt:lpwstr>
  </property>
</Properties>
</file>