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F" w:rsidRPr="009C565F" w:rsidRDefault="00B62B2F" w:rsidP="009C565F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hint="eastAsia"/>
          <w:b/>
          <w:bCs/>
          <w:color w:val="404040"/>
          <w:sz w:val="32"/>
          <w:szCs w:val="32"/>
        </w:rPr>
      </w:pPr>
      <w:r w:rsidRPr="009C565F">
        <w:rPr>
          <w:rFonts w:ascii="Times New Roman" w:hAnsi="Times New Roman" w:hint="eastAsia"/>
          <w:b/>
          <w:bCs/>
          <w:color w:val="404040"/>
          <w:sz w:val="32"/>
          <w:szCs w:val="32"/>
        </w:rPr>
        <w:t>导学单的设计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200" w:firstLine="56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导学单设计的过程，要经历从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无形设计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到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有形设计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两个阶段。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200" w:firstLine="56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所谓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无形设计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包括研读课标、钻研教材、课程资源的开发、把握学情、策略构思等，这些看不见的设计。它融教师的教育理念、知识底蕴、情感态度、教育机智、语言表达于一体。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150" w:firstLine="42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所谓有形设计，是指通过设计产生的有形的结果性文本材料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导学单。</w:t>
      </w:r>
    </w:p>
    <w:p w:rsidR="00B62B2F" w:rsidRDefault="00B62B2F" w:rsidP="00B62B2F">
      <w:pPr>
        <w:pStyle w:val="a3"/>
        <w:tabs>
          <w:tab w:val="num" w:pos="360"/>
        </w:tabs>
        <w:spacing w:before="0" w:beforeAutospacing="0" w:after="0" w:afterAutospacing="0" w:line="360" w:lineRule="auto"/>
        <w:ind w:leftChars="50" w:left="470" w:hanging="36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1</w:t>
      </w:r>
      <w:r>
        <w:rPr>
          <w:rFonts w:hint="eastAsia"/>
          <w:bCs/>
          <w:color w:val="404040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bCs/>
          <w:color w:val="404040"/>
          <w:sz w:val="14"/>
          <w:szCs w:val="14"/>
        </w:rPr>
        <w:t xml:space="preserve"> 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研读课标作指南。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其一、课标对教材作出了明确的界定，这是导学单设计的基本出发点。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其二、课标提供了课程编写的基本思路，这是导学单设计的基本思路。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其三、课标提供了课程内容的目标要求，这是导学单设计学习目标的具体指导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其四、课标提供的实施建议，可以提高导学单设计教学策略的能力。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其五、课标提供了大量案例，可以借鉴为课堂教学案例。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2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、用好教材促发展。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其一、确立课程意识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其二、树立新的教材观。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3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、学情调查是起点。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150" w:firstLine="42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美国教育心理学家奥苏泊尔曾有句名言：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假如让我把全部心理学仅仅归结为一条原理的话，那么我一言以蔽之，影响学生学习新知的唯一重要的因素，就是学习者已经知道了什么？要探明这一点，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lastRenderedPageBreak/>
        <w:t>并应据此教学。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说的就是这个道理。导学单设计的起点理应回到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学情调查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上来。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150" w:firstLine="42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根据高效课堂的要求，在导学案设计上，学情调查属于一个全程性、全时性、全员性的调查分析，具有开放性、动态性、多层次、多维度的特征。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150" w:firstLine="42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学情调查主要从学情调查的内容、学情调查的起点、学情调查的时间、学情调查的对象四个大地方面来分析。后面的专题将做详细分析。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4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、分层设计重差异。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其一、分层设计学习目标。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其二、分层设计问题</w:t>
      </w:r>
      <w:r>
        <w:rPr>
          <w:rFonts w:ascii="simsun" w:hAnsi="simsun"/>
          <w:color w:val="404040"/>
          <w:sz w:val="21"/>
          <w:szCs w:val="21"/>
        </w:rPr>
        <w:t xml:space="preserve"> 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其三、分层设计学习程序。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5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、学法指导在其中。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200" w:firstLine="56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导学单，它要体现学生学习的过程，尤其是要体现学习过程的方式方法的指导。改变过去单一被动、枯燥乏味的学习方式，而重在培养学生自主、合作、探究学习的能力。学法要符合规律，也要在一定的程序和情景下产生。教师要认真研究学法。如在高效课堂上，研究指导学生如何开展有效自学？如何整合课内外资源收集有效信息？如何制定学习计划？如何进行小组合作？如何进行问题展示？如何进行问题质疑？如何整理学习笔记？如何进行自我反思？如何进行研究性学习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--------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通过学法指导逐步培养学生的学习能力，使学生的自主性、主动性和创造性不断得到发展。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6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、集智备课作保证。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200" w:firstLine="56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lastRenderedPageBreak/>
        <w:t>导学单的设计虽然可由个人完成，但是作为高质量的导学单设计，发挥集体智慧是明智之举。我们采用的是集体备课、集群体智慧设计导学单。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每一份导学单的设计都是经过我们组五位老师在一起群策群力、反复推敲、达成共识、集智备课：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200" w:firstLine="56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通常每周集体备课时间，研究下一周的导学单，组内成员集体研究，并分配接下去一周的备课任务。</w:t>
      </w:r>
      <w:r>
        <w:rPr>
          <w:rFonts w:ascii="Times New Roman" w:hAnsi="Times New Roman" w:hint="eastAsia"/>
          <w:color w:val="404040"/>
          <w:sz w:val="28"/>
          <w:szCs w:val="28"/>
        </w:rPr>
        <w:t>集智备课的基本流程主要有五种方式：</w:t>
      </w:r>
    </w:p>
    <w:p w:rsidR="00B62B2F" w:rsidRDefault="00B62B2F" w:rsidP="00B62B2F">
      <w:pPr>
        <w:pStyle w:val="a3"/>
        <w:tabs>
          <w:tab w:val="num" w:pos="720"/>
        </w:tabs>
        <w:spacing w:before="0" w:beforeAutospacing="0" w:after="0" w:afterAutospacing="0" w:line="360" w:lineRule="auto"/>
        <w:ind w:left="720" w:hanging="360"/>
        <w:rPr>
          <w:rFonts w:ascii="simsun" w:hAnsi="simsun"/>
          <w:color w:val="404040"/>
          <w:sz w:val="21"/>
          <w:szCs w:val="21"/>
        </w:rPr>
      </w:pPr>
      <w:r>
        <w:rPr>
          <w:rFonts w:ascii="Wingdings" w:eastAsia="Wingdings" w:hAnsi="Wingdings" w:cs="Wingdings"/>
          <w:color w:val="404040"/>
          <w:sz w:val="28"/>
          <w:szCs w:val="28"/>
        </w:rPr>
        <w:t></w:t>
      </w:r>
      <w:r>
        <w:rPr>
          <w:rFonts w:ascii="Times New Roman" w:eastAsia="Wingdings" w:hAnsi="Times New Roman" w:cs="Times New Roman"/>
          <w:color w:val="404040"/>
          <w:sz w:val="14"/>
          <w:szCs w:val="14"/>
        </w:rPr>
        <w:t xml:space="preserve"> </w:t>
      </w:r>
      <w:r>
        <w:rPr>
          <w:rFonts w:ascii="Times New Roman" w:hAnsi="Times New Roman" w:hint="eastAsia"/>
          <w:color w:val="404040"/>
          <w:sz w:val="28"/>
          <w:szCs w:val="28"/>
        </w:rPr>
        <w:t>方式一、个人初备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备课组集备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个人复备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课上续备</w:t>
      </w:r>
      <w:r>
        <w:rPr>
          <w:rFonts w:ascii="simsun" w:hAnsi="simsun"/>
          <w:color w:val="40404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课后补备。</w:t>
      </w:r>
    </w:p>
    <w:p w:rsidR="00B62B2F" w:rsidRDefault="00B62B2F" w:rsidP="00B62B2F">
      <w:pPr>
        <w:pStyle w:val="a3"/>
        <w:tabs>
          <w:tab w:val="num" w:pos="720"/>
        </w:tabs>
        <w:spacing w:before="0" w:beforeAutospacing="0" w:after="0" w:afterAutospacing="0" w:line="360" w:lineRule="auto"/>
        <w:ind w:left="720" w:hanging="360"/>
        <w:rPr>
          <w:rFonts w:ascii="simsun" w:hAnsi="simsun"/>
          <w:color w:val="404040"/>
          <w:sz w:val="21"/>
          <w:szCs w:val="21"/>
        </w:rPr>
      </w:pPr>
      <w:r>
        <w:rPr>
          <w:rFonts w:ascii="Wingdings" w:eastAsia="Wingdings" w:hAnsi="Wingdings" w:cs="Wingdings"/>
          <w:color w:val="404040"/>
          <w:sz w:val="28"/>
          <w:szCs w:val="28"/>
        </w:rPr>
        <w:t></w:t>
      </w:r>
      <w:r>
        <w:rPr>
          <w:rFonts w:ascii="Times New Roman" w:eastAsia="Wingdings" w:hAnsi="Times New Roman" w:cs="Times New Roman"/>
          <w:color w:val="404040"/>
          <w:sz w:val="14"/>
          <w:szCs w:val="14"/>
        </w:rPr>
        <w:t xml:space="preserve"> </w:t>
      </w:r>
      <w:r>
        <w:rPr>
          <w:rFonts w:ascii="Times New Roman" w:hAnsi="Times New Roman" w:hint="eastAsia"/>
          <w:color w:val="404040"/>
          <w:sz w:val="28"/>
          <w:szCs w:val="28"/>
        </w:rPr>
        <w:t>方式二、初备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集体交流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形成共案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共案的个性化处理</w:t>
      </w:r>
    </w:p>
    <w:p w:rsidR="00B62B2F" w:rsidRDefault="00B62B2F" w:rsidP="00B62B2F">
      <w:pPr>
        <w:pStyle w:val="a3"/>
        <w:tabs>
          <w:tab w:val="num" w:pos="720"/>
        </w:tabs>
        <w:spacing w:before="0" w:beforeAutospacing="0" w:after="0" w:afterAutospacing="0" w:line="360" w:lineRule="auto"/>
        <w:ind w:left="720" w:hanging="360"/>
        <w:rPr>
          <w:rFonts w:ascii="simsun" w:hAnsi="simsun"/>
          <w:color w:val="404040"/>
          <w:sz w:val="21"/>
          <w:szCs w:val="21"/>
        </w:rPr>
      </w:pPr>
      <w:r>
        <w:rPr>
          <w:rFonts w:ascii="Wingdings" w:eastAsia="Wingdings" w:hAnsi="Wingdings" w:cs="Wingdings"/>
          <w:color w:val="404040"/>
          <w:sz w:val="28"/>
          <w:szCs w:val="28"/>
        </w:rPr>
        <w:t></w:t>
      </w:r>
      <w:r>
        <w:rPr>
          <w:rFonts w:ascii="Times New Roman" w:eastAsia="Wingdings" w:hAnsi="Times New Roman" w:cs="Times New Roman"/>
          <w:color w:val="404040"/>
          <w:sz w:val="14"/>
          <w:szCs w:val="14"/>
        </w:rPr>
        <w:t xml:space="preserve"> </w:t>
      </w:r>
      <w:r>
        <w:rPr>
          <w:rFonts w:ascii="Times New Roman" w:hAnsi="Times New Roman" w:hint="eastAsia"/>
          <w:color w:val="404040"/>
          <w:sz w:val="28"/>
          <w:szCs w:val="28"/>
        </w:rPr>
        <w:t>方式三、主备人备课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集体研讨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个性化导学案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集体反思。</w:t>
      </w:r>
    </w:p>
    <w:p w:rsidR="00B62B2F" w:rsidRDefault="00B62B2F" w:rsidP="00B62B2F">
      <w:pPr>
        <w:pStyle w:val="a3"/>
        <w:tabs>
          <w:tab w:val="num" w:pos="720"/>
        </w:tabs>
        <w:spacing w:before="0" w:beforeAutospacing="0" w:after="0" w:afterAutospacing="0" w:line="360" w:lineRule="auto"/>
        <w:ind w:left="720" w:hanging="360"/>
        <w:rPr>
          <w:rFonts w:ascii="simsun" w:hAnsi="simsun"/>
          <w:color w:val="404040"/>
          <w:sz w:val="21"/>
          <w:szCs w:val="21"/>
        </w:rPr>
      </w:pPr>
      <w:r>
        <w:rPr>
          <w:rFonts w:ascii="Wingdings" w:eastAsia="Wingdings" w:hAnsi="Wingdings" w:cs="Wingdings"/>
          <w:color w:val="404040"/>
          <w:sz w:val="28"/>
          <w:szCs w:val="28"/>
        </w:rPr>
        <w:t></w:t>
      </w:r>
      <w:r>
        <w:rPr>
          <w:rFonts w:ascii="Times New Roman" w:eastAsia="Wingdings" w:hAnsi="Times New Roman" w:cs="Times New Roman"/>
          <w:color w:val="404040"/>
          <w:sz w:val="14"/>
          <w:szCs w:val="14"/>
        </w:rPr>
        <w:t xml:space="preserve"> </w:t>
      </w:r>
      <w:r>
        <w:rPr>
          <w:rFonts w:ascii="Times New Roman" w:hAnsi="Times New Roman" w:hint="eastAsia"/>
          <w:color w:val="404040"/>
          <w:sz w:val="28"/>
          <w:szCs w:val="28"/>
        </w:rPr>
        <w:t>方式四、集体研讨</w:t>
      </w:r>
      <w:r>
        <w:rPr>
          <w:rFonts w:ascii="Times New Roman" w:hAnsi="Times New Roman" w:cs="Times New Roman"/>
          <w:color w:val="404040"/>
          <w:sz w:val="28"/>
          <w:szCs w:val="28"/>
        </w:rPr>
        <w:t>———</w:t>
      </w:r>
      <w:r>
        <w:rPr>
          <w:rFonts w:ascii="Times New Roman" w:hAnsi="Times New Roman" w:hint="eastAsia"/>
          <w:color w:val="404040"/>
          <w:sz w:val="28"/>
          <w:szCs w:val="28"/>
        </w:rPr>
        <w:t>分工备课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集体完善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形成个案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个案反思。</w:t>
      </w:r>
    </w:p>
    <w:p w:rsidR="00B62B2F" w:rsidRDefault="00B62B2F" w:rsidP="00B62B2F">
      <w:pPr>
        <w:pStyle w:val="a3"/>
        <w:tabs>
          <w:tab w:val="num" w:pos="720"/>
        </w:tabs>
        <w:spacing w:before="0" w:beforeAutospacing="0" w:after="0" w:afterAutospacing="0" w:line="360" w:lineRule="auto"/>
        <w:ind w:left="720" w:hanging="360"/>
        <w:rPr>
          <w:rFonts w:ascii="simsun" w:hAnsi="simsun"/>
          <w:color w:val="404040"/>
          <w:sz w:val="21"/>
          <w:szCs w:val="21"/>
        </w:rPr>
      </w:pPr>
      <w:r>
        <w:rPr>
          <w:rFonts w:ascii="Wingdings" w:eastAsia="Wingdings" w:hAnsi="Wingdings" w:cs="Wingdings"/>
          <w:color w:val="404040"/>
          <w:sz w:val="28"/>
          <w:szCs w:val="28"/>
        </w:rPr>
        <w:t></w:t>
      </w:r>
      <w:r>
        <w:rPr>
          <w:rFonts w:ascii="Times New Roman" w:eastAsia="Wingdings" w:hAnsi="Times New Roman" w:cs="Times New Roman"/>
          <w:color w:val="404040"/>
          <w:sz w:val="14"/>
          <w:szCs w:val="14"/>
        </w:rPr>
        <w:t xml:space="preserve"> </w:t>
      </w:r>
      <w:r>
        <w:rPr>
          <w:rFonts w:ascii="Times New Roman" w:hAnsi="Times New Roman" w:hint="eastAsia"/>
          <w:color w:val="404040"/>
          <w:sz w:val="28"/>
          <w:szCs w:val="28"/>
        </w:rPr>
        <w:t>方式五、熟悉教材提出问题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中心发言，把握重点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simsun" w:hAnsi="simsun"/>
          <w:color w:val="40404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404040"/>
          <w:sz w:val="28"/>
          <w:szCs w:val="28"/>
        </w:rPr>
        <w:t>共同研讨，解决问题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形成预案，分发教师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结合实际，二次备课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课堂实施，信息反馈</w:t>
      </w:r>
      <w:r>
        <w:rPr>
          <w:rFonts w:ascii="Times New Roman" w:hAnsi="Times New Roman" w:cs="Times New Roman"/>
          <w:color w:val="404040"/>
          <w:sz w:val="28"/>
          <w:szCs w:val="28"/>
        </w:rPr>
        <w:t>——</w:t>
      </w:r>
      <w:r>
        <w:rPr>
          <w:rFonts w:ascii="Times New Roman" w:hAnsi="Times New Roman" w:hint="eastAsia"/>
          <w:color w:val="404040"/>
          <w:sz w:val="28"/>
          <w:szCs w:val="28"/>
        </w:rPr>
        <w:t>教后反思，理论提升。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150" w:firstLine="42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color w:val="404040"/>
          <w:sz w:val="28"/>
          <w:szCs w:val="28"/>
        </w:rPr>
        <w:t>总之这五种方式其基本要素为：教师个人备课（初备）主备人备课（主备）集智备课（集备）个人二次备课（复备）课后修订（补备）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/>
          <w:bCs/>
          <w:color w:val="404040"/>
          <w:sz w:val="28"/>
          <w:szCs w:val="28"/>
        </w:rPr>
        <w:t>导学单设计的基本规范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1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、统一基本设计要素。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 w:firstLineChars="200" w:firstLine="56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lastRenderedPageBreak/>
        <w:t>高效课堂下的导学单的设计要素，受高效课堂课型的影响，在共性中寓于个性。一般综合课型导学单的设计包括以下要素：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1</w:t>
      </w:r>
      <w:r>
        <w:rPr>
          <w:rFonts w:hint="eastAsia"/>
          <w:bCs/>
          <w:color w:val="404040"/>
          <w:sz w:val="28"/>
          <w:szCs w:val="28"/>
        </w:rPr>
        <w:t>）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、学情调查。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2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）、学习内容分析：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3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）、学习目标；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="105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4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）、重难点预测；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="105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5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）、知识链接；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="105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6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）、学法指导；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="105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7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）、学习过程；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="105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8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）、合作探究过程；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="105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9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）、展示过程；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cs="Times New Roman"/>
          <w:bCs/>
          <w:color w:val="404040"/>
          <w:sz w:val="28"/>
          <w:szCs w:val="28"/>
        </w:rPr>
        <w:t>10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）、问题的设计。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/>
          <w:bCs/>
          <w:color w:val="404040"/>
          <w:sz w:val="28"/>
          <w:szCs w:val="28"/>
        </w:rPr>
        <w:t>导学单设计避免走入的误区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误区一：导学单设计教案化。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误区二：导学单设计习题化。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误区三：导学单设计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问题肤浅化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误区四：导学单设计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共性化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。</w:t>
      </w:r>
    </w:p>
    <w:p w:rsidR="00B62B2F" w:rsidRDefault="00B62B2F" w:rsidP="00B62B2F">
      <w:pPr>
        <w:pStyle w:val="a3"/>
        <w:spacing w:before="0" w:beforeAutospacing="0" w:after="0" w:afterAutospacing="0" w:line="360" w:lineRule="auto"/>
        <w:ind w:leftChars="50" w:left="110"/>
        <w:rPr>
          <w:rFonts w:ascii="simsun" w:hAnsi="simsun"/>
          <w:color w:val="404040"/>
          <w:sz w:val="21"/>
          <w:szCs w:val="21"/>
        </w:rPr>
      </w:pPr>
      <w:r>
        <w:rPr>
          <w:rFonts w:ascii="Times New Roman" w:hAnsi="Times New Roman" w:hint="eastAsia"/>
          <w:bCs/>
          <w:color w:val="404040"/>
          <w:sz w:val="28"/>
          <w:szCs w:val="28"/>
        </w:rPr>
        <w:t>误区五：导学单设计</w:t>
      </w:r>
      <w:r>
        <w:rPr>
          <w:rFonts w:ascii="Times New Roman" w:hAnsi="Times New Roman" w:cs="Times New Roman"/>
          <w:bCs/>
          <w:color w:val="404040"/>
          <w:sz w:val="28"/>
          <w:szCs w:val="28"/>
        </w:rPr>
        <w:t>“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提纲化</w:t>
      </w: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>”</w:t>
      </w:r>
      <w:r>
        <w:rPr>
          <w:rFonts w:ascii="Times New Roman" w:hAnsi="Times New Roman" w:hint="eastAsia"/>
          <w:bCs/>
          <w:color w:val="404040"/>
          <w:sz w:val="28"/>
          <w:szCs w:val="28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6489"/>
    <w:rsid w:val="00323B43"/>
    <w:rsid w:val="0038518D"/>
    <w:rsid w:val="003D37D8"/>
    <w:rsid w:val="00426133"/>
    <w:rsid w:val="004358AB"/>
    <w:rsid w:val="008B7726"/>
    <w:rsid w:val="009C565F"/>
    <w:rsid w:val="00B62B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B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37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2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2016-12-19T04:57:00Z</dcterms:modified>
</cp:coreProperties>
</file>