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A6" w:rsidRPr="00A635C8" w:rsidRDefault="00CC44E2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Arial"/>
          <w:color w:val="000000" w:themeColor="text1"/>
          <w:kern w:val="0"/>
          <w:sz w:val="36"/>
          <w:szCs w:val="36"/>
        </w:rPr>
      </w:pPr>
      <w:bookmarkStart w:id="0" w:name="_GoBack"/>
      <w:r w:rsidRPr="00A635C8">
        <w:rPr>
          <w:rFonts w:ascii="黑体" w:eastAsia="黑体" w:hAnsi="黑体" w:cs="Arial" w:hint="eastAsia"/>
          <w:color w:val="000000" w:themeColor="text1"/>
          <w:kern w:val="0"/>
          <w:sz w:val="36"/>
          <w:szCs w:val="36"/>
        </w:rPr>
        <w:t>交流理解，融合发展</w:t>
      </w:r>
      <w:r w:rsidR="00CC2D4A" w:rsidRPr="00A635C8">
        <w:rPr>
          <w:rFonts w:ascii="黑体" w:eastAsia="黑体" w:hAnsi="黑体" w:cs="Arial" w:hint="eastAsia"/>
          <w:color w:val="000000" w:themeColor="text1"/>
          <w:kern w:val="0"/>
          <w:sz w:val="36"/>
          <w:szCs w:val="36"/>
        </w:rPr>
        <w:t>——双流中学的教育国际化</w:t>
      </w:r>
    </w:p>
    <w:bookmarkEnd w:id="0"/>
    <w:p w:rsidR="00CC44E2" w:rsidRPr="00A635C8" w:rsidRDefault="00CC44E2" w:rsidP="00A635C8">
      <w:pPr>
        <w:spacing w:line="400" w:lineRule="exact"/>
        <w:ind w:firstLineChars="200" w:firstLine="480"/>
        <w:jc w:val="center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 w:rsidR="00CC44E2" w:rsidRPr="00A635C8" w:rsidRDefault="00CC44E2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发言提纲：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</w:t>
      </w:r>
    </w:p>
    <w:p w:rsidR="00CC44E2" w:rsidRPr="00A635C8" w:rsidRDefault="00CC44E2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一、学校介绍 </w:t>
      </w:r>
    </w:p>
    <w:p w:rsidR="00CC44E2" w:rsidRPr="00A635C8" w:rsidRDefault="00CC44E2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二、双流中学理念文化的确立及实施 </w:t>
      </w:r>
    </w:p>
    <w:p w:rsidR="00CC44E2" w:rsidRPr="00A635C8" w:rsidRDefault="00CC44E2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三、双流中学教育国际化的实践探索 </w:t>
      </w:r>
    </w:p>
    <w:p w:rsidR="00CC44E2" w:rsidRPr="00A635C8" w:rsidRDefault="00CC44E2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四、办学效益及未来思考 </w:t>
      </w:r>
    </w:p>
    <w:p w:rsidR="00CC44E2" w:rsidRPr="00A635C8" w:rsidRDefault="00CC44E2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CC44E2" w:rsidRPr="00A635C8" w:rsidRDefault="00CC44E2" w:rsidP="00CC44E2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一、学校介绍 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双流中学诞生于1940年，建校批文由时任四川省兼理主席</w:t>
      </w:r>
      <w:proofErr w:type="gramStart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蒋</w:t>
      </w:r>
      <w:proofErr w:type="gramEnd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中正签章，校名由近代著名书法家、国民党元老于右任先生题写。原国民党军事委员会副委员长、爱国将领冯玉祥曾在此作抗日动员演讲，并向青年学生面赠《学生救国问答》。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早在上世纪90年代，双流中学就开始了广泛的国际交流与合作。先后100余次组织师生到美国和欧洲访问、交流和讲学，引进了近30多名外籍教师在双中任教，并接待了40多次外国教育专家、校长及学生来访。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2011年，由于我校向国外正规高等院校输送高中毕业生成绩突出，荣获成都市教育局颁发的优秀奖。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2013年，成为首批四川省一级示范性普通高中。</w:t>
      </w:r>
    </w:p>
    <w:p w:rsidR="00A35D69" w:rsidRPr="00A635C8" w:rsidRDefault="00A35D69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2015年6月，双流中学被双流县教育局评为教育国际化窗口学校。2016年3月，成为成都市第二批教育国际化窗口学校建设单位。</w:t>
      </w:r>
    </w:p>
    <w:p w:rsidR="00CC44E2" w:rsidRPr="00A635C8" w:rsidRDefault="00CC44E2" w:rsidP="003536AB">
      <w:pPr>
        <w:spacing w:line="400" w:lineRule="exact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二、双流中学理念文化的确立及实施 </w:t>
      </w:r>
    </w:p>
    <w:p w:rsidR="00CC44E2" w:rsidRPr="00A635C8" w:rsidRDefault="00CC44E2" w:rsidP="00A635C8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（一）</w:t>
      </w:r>
      <w:proofErr w:type="gramStart"/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践行</w:t>
      </w:r>
      <w:proofErr w:type="gramEnd"/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“核心价值观”，发展“核心素养”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</w:t>
      </w:r>
    </w:p>
    <w:p w:rsidR="00CC44E2" w:rsidRPr="00A635C8" w:rsidRDefault="00CC44E2" w:rsidP="00A635C8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中国学生发展核心素养：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</w:t>
      </w:r>
    </w:p>
    <w:p w:rsidR="00CC44E2" w:rsidRPr="00A635C8" w:rsidRDefault="00CC44E2" w:rsidP="00A635C8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——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学生发展核心素养，是指学生应具备的、能够适应终身发展和社会发展需要的必备品格和关键能力，综合表现为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9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大素养，具体为社会责任、国家认同、国际理解；人文底蕴、科学精神、审美情趣；身心健康、学会学习、实践创新。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</w:t>
      </w:r>
    </w:p>
    <w:p w:rsidR="00CC44E2" w:rsidRPr="00A635C8" w:rsidRDefault="00CC44E2" w:rsidP="00A635C8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——</w:t>
      </w:r>
      <w:proofErr w:type="gramStart"/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践行</w:t>
      </w:r>
      <w:proofErr w:type="gramEnd"/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社会主义核心价值观，落实立德树人根本任务，突出强调社会责任感、创新精神和实践能力，促进学生全面发展，使之成为中国特色社会主义合格建设者和可靠接班人。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</w:t>
      </w:r>
    </w:p>
    <w:p w:rsidR="00CC44E2" w:rsidRPr="00A635C8" w:rsidRDefault="00CC44E2" w:rsidP="00A635C8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（二）双流中学理念文化的确立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今天，在教育现代化和国际化的浪潮里，面对新的机遇和挑战，双中人领潮争先，提出了“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精英教育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”的特色品牌打造策略，并确立了以育人目标“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平民本色，精英气质；民族情怀，国际视野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”为核心的理念文化。</w:t>
      </w:r>
    </w:p>
    <w:p w:rsidR="008E20A6" w:rsidRPr="00A635C8" w:rsidRDefault="00CC2D4A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“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平民本色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”——培养学生质朴善良、宽厚平易、诚信感恩、勤奋踏实的品格，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lastRenderedPageBreak/>
        <w:t>使其成为具有健全人格的合格公民。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“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精英气质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”——立足“平民本色”， 追求卓越杰出；培养学生高深的学识、高尚的精神、高雅的情趣、高超的领导力、高明的创造力和高远的想象力。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“平民本色”与“精英气质”相辅相承，不可或缺，只有具备“平民本色”的精英才具有雄健的精神动力和强烈的社会责任感。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“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民族情怀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”——树立学生的民族自尊心、自信心和自豪感，自觉承担中华民族伟大复兴的使命。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“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国际视野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”——培养学生用全球的眼光看世界，善于理解和汲取各国文化精华，能用书面语言和口头语言进行基本的国际交流。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“民族情怀”和“国际视野”就是要使学生成为出色的中国人和国际人。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本着我校“平民本色，精英气质；民族情怀，国际视野”的育人目标，利用成为“成都市教育国际化窗口学校建设单位”的契机，我们在学校教育国际化理念层面实现突破，形成“主动了解，积极展示，兼收并蓄”的开放格局；建成实施系列国际理解教育校本课程；固化优化学校国际交流活动；开发资源并促进跨文化交流深度合作，优化配置校内外教育资源和要素，抢占世界教育的制高点，培养具有国际竞争力的现代公民和国际化人。</w:t>
      </w:r>
    </w:p>
    <w:p w:rsidR="00CC44E2" w:rsidRPr="00A635C8" w:rsidRDefault="00CC44E2" w:rsidP="00CC44E2">
      <w:pPr>
        <w:spacing w:line="400" w:lineRule="exact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（三）双流中学理念文化的实施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</w:t>
      </w:r>
    </w:p>
    <w:p w:rsidR="00CC44E2" w:rsidRPr="00A635C8" w:rsidRDefault="00A35D69" w:rsidP="00CC44E2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   建设“双商教育、二元导学、三分课堂、四类课程”的特色课程体系，以校训“仁 智 雅 和”为核心，为每一位学生构建符合双中办学理念、文化精神的个性化课程：（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见PPT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）</w:t>
      </w:r>
    </w:p>
    <w:p w:rsidR="00A35D69" w:rsidRPr="00A635C8" w:rsidRDefault="00A35D69" w:rsidP="00A635C8">
      <w:pPr>
        <w:spacing w:line="400" w:lineRule="exact"/>
        <w:ind w:firstLineChars="100" w:firstLine="24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“四类课程”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（涵盖国际理解教育各方面内容）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</w:t>
      </w:r>
    </w:p>
    <w:p w:rsidR="00A35D69" w:rsidRPr="00A635C8" w:rsidRDefault="003014A2" w:rsidP="00CC44E2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317.5pt;height:50.35pt;z-index:251660288;mso-position-horizontal:center;mso-width-relative:margin;mso-height-relative:margin">
            <v:textbox>
              <w:txbxContent>
                <w:p w:rsidR="00A35D69" w:rsidRPr="00A35D69" w:rsidRDefault="00A35D69" w:rsidP="00A35D69">
                  <w:pPr>
                    <w:spacing w:line="400" w:lineRule="exact"/>
                    <w:rPr>
                      <w:rFonts w:asciiTheme="minorEastAsia" w:hAnsiTheme="minorEastAsia" w:cstheme="minorEastAsia"/>
                      <w:sz w:val="24"/>
                      <w:szCs w:val="24"/>
                    </w:rPr>
                  </w:pPr>
                  <w:r w:rsidRPr="00A35D69">
                    <w:rPr>
                      <w:rFonts w:asciiTheme="minorEastAsia" w:hAnsiTheme="minorEastAsia" w:cstheme="minorEastAsia" w:hint="eastAsia"/>
                      <w:bCs/>
                      <w:sz w:val="24"/>
                      <w:szCs w:val="24"/>
                    </w:rPr>
                    <w:t>任：修身立德</w:t>
                  </w:r>
                  <w:r w:rsidRPr="00A35D69">
                    <w:rPr>
                      <w:rFonts w:asciiTheme="minorEastAsia" w:hAnsiTheme="minorEastAsia" w:cstheme="minorEastAsia"/>
                      <w:bCs/>
                      <w:sz w:val="24"/>
                      <w:szCs w:val="24"/>
                    </w:rPr>
                    <w:t xml:space="preserve"> </w:t>
                  </w:r>
                  <w:r w:rsidRPr="00A35D69">
                    <w:rPr>
                      <w:rFonts w:asciiTheme="minorEastAsia" w:hAnsiTheme="minorEastAsia" w:cstheme="minorEastAsia" w:hint="eastAsia"/>
                      <w:bCs/>
                      <w:sz w:val="24"/>
                      <w:szCs w:val="24"/>
                    </w:rPr>
                    <w:t xml:space="preserve">  智：认知素养</w:t>
                  </w:r>
                  <w:r w:rsidRPr="00A35D69">
                    <w:rPr>
                      <w:rFonts w:asciiTheme="minorEastAsia" w:hAnsiTheme="minorEastAsia" w:cstheme="minorEastAsia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A35D69" w:rsidRPr="00A35D69" w:rsidRDefault="00A35D69" w:rsidP="00A35D69">
                  <w:pPr>
                    <w:spacing w:line="400" w:lineRule="exact"/>
                    <w:rPr>
                      <w:rFonts w:asciiTheme="minorEastAsia" w:hAnsiTheme="minorEastAsia" w:cstheme="minorEastAsia"/>
                      <w:sz w:val="24"/>
                      <w:szCs w:val="24"/>
                    </w:rPr>
                  </w:pPr>
                  <w:r w:rsidRPr="00A35D69">
                    <w:rPr>
                      <w:rFonts w:asciiTheme="minorEastAsia" w:hAnsiTheme="minorEastAsia" w:cstheme="minorEastAsia" w:hint="eastAsia"/>
                      <w:bCs/>
                      <w:sz w:val="24"/>
                      <w:szCs w:val="24"/>
                    </w:rPr>
                    <w:t>雅：气质内涵</w:t>
                  </w:r>
                  <w:r w:rsidRPr="00A35D69">
                    <w:rPr>
                      <w:rFonts w:asciiTheme="minorEastAsia" w:hAnsiTheme="minorEastAsia" w:cstheme="minorEastAsia"/>
                      <w:bCs/>
                      <w:sz w:val="24"/>
                      <w:szCs w:val="24"/>
                    </w:rPr>
                    <w:t xml:space="preserve"> </w:t>
                  </w:r>
                  <w:r w:rsidRPr="00A35D69">
                    <w:rPr>
                      <w:rFonts w:asciiTheme="minorEastAsia" w:hAnsiTheme="minorEastAsia" w:cstheme="minorEastAsia" w:hint="eastAsia"/>
                      <w:bCs/>
                      <w:sz w:val="24"/>
                      <w:szCs w:val="24"/>
                    </w:rPr>
                    <w:t xml:space="preserve">  和：和谐共融 </w:t>
                  </w:r>
                </w:p>
                <w:p w:rsidR="00A35D69" w:rsidRDefault="00A35D69"/>
              </w:txbxContent>
            </v:textbox>
          </v:shape>
        </w:pict>
      </w:r>
    </w:p>
    <w:p w:rsidR="00A35D69" w:rsidRPr="00A635C8" w:rsidRDefault="00A35D69" w:rsidP="00CC44E2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A35D69" w:rsidRPr="00A635C8" w:rsidRDefault="00A35D69" w:rsidP="00CC44E2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A35D69" w:rsidRPr="00A635C8" w:rsidRDefault="001357D6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本期校本课程一览表—（部分） </w:t>
      </w:r>
      <w:r w:rsidR="00A35D69"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---见PPT</w:t>
      </w:r>
    </w:p>
    <w:p w:rsidR="00A35D69" w:rsidRPr="00A635C8" w:rsidRDefault="00A35D69" w:rsidP="00A35D69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三、双流中学教育国际化的实践探索 </w:t>
      </w:r>
    </w:p>
    <w:p w:rsidR="008E20A6" w:rsidRPr="00A635C8" w:rsidRDefault="00A35D69">
      <w:pPr>
        <w:spacing w:line="40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(</w:t>
      </w:r>
      <w:proofErr w:type="gramStart"/>
      <w:r w:rsidR="00CC2D4A"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一</w:t>
      </w:r>
      <w:proofErr w:type="gramEnd"/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)</w:t>
      </w:r>
      <w:r w:rsidR="00CC2D4A"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.加强外籍教师管理，提升教师队伍国际化意识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1.规范外籍教师聘用及管理 (常年聘用外籍教师)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加强对外教课堂的管理，严把教学主阵地，不允许有违背国家法律法规和社会主义核心价值的言论出现在课堂。</w:t>
      </w:r>
      <w:r w:rsidR="003536AB"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除了正常教学外，外教还要参加学生各种课外活动、学校教研活动等。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2.加强教师国际化培训（近三年通过多种渠道，近50名教师出国/境培训）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通过双流中学“精英讲堂”，邀请著名学者对全校教师进行国际化教育专题培训。鼓励教师赴国（境）外参加公派留学、培训及国际会议等活动，鼓励教师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lastRenderedPageBreak/>
        <w:t>赴海外任教（目前，我校已有李元芳、陈先念、王璞、赖丹、张巧菊、吕荟等多位教师赴海外交流任教）。学校拓宽渠道，更广泛地开展外籍专家与我校教师教育交流活动，提高教师的国际化意识和开展国际理解教育的能力，</w:t>
      </w:r>
      <w:r w:rsidRPr="00A635C8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力争在3年的时间，完成全校优秀教师的国内外教育国际化</w:t>
      </w:r>
      <w:proofErr w:type="gramStart"/>
      <w:r w:rsidRPr="00A635C8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通识性培训</w:t>
      </w:r>
      <w:proofErr w:type="gramEnd"/>
      <w:r w:rsidRPr="00A635C8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及对管理干部和专业教师的国际教育理念、教学方法、外语教学和语言应用能力等专题培训。</w:t>
      </w:r>
    </w:p>
    <w:p w:rsidR="008E20A6" w:rsidRPr="00A635C8" w:rsidRDefault="00A35D69" w:rsidP="00A35D69">
      <w:pPr>
        <w:spacing w:line="40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(二).</w:t>
      </w:r>
      <w:r w:rsidR="00CC2D4A"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加强与国际友好学校合作的广度与深度</w:t>
      </w:r>
      <w:bookmarkStart w:id="1" w:name="OLE_LINK5"/>
      <w:bookmarkStart w:id="2" w:name="OLE_LINK4"/>
    </w:p>
    <w:p w:rsidR="008E20A6" w:rsidRPr="00A635C8" w:rsidRDefault="00CC2D4A">
      <w:pPr>
        <w:spacing w:line="400" w:lineRule="exact"/>
        <w:ind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双流</w:t>
      </w:r>
      <w:bookmarkEnd w:id="1"/>
      <w:bookmarkEnd w:id="2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中学现有五所国际友好学校。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近三年，国外师生来访双中多达40余批次，10月底美国20所大学将来访我校；每年开展学生冬/夏令营游学活动；为学生搭建出国留学平台，每年有30余名学生出国留学。我校是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爱尔兰都柏林工业大学“中国校长实名推荐学校”，每年可向其推荐2—3名学生。</w:t>
      </w:r>
    </w:p>
    <w:p w:rsidR="008E20A6" w:rsidRPr="00A635C8" w:rsidRDefault="00CC2D4A">
      <w:pPr>
        <w:spacing w:line="400" w:lineRule="exact"/>
        <w:ind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目前，学校正尝试与澳大利亚奥本中学合作进行跨国课堂视频连线教学，双方争取在2016年9月实现跨国课堂视频连线教学；同时，也和友好学校美国李高中探讨合作可能性，且实现所有双流中学国际英才班学生都有对应的美国笔友，加强两国学生间交流沟通。</w:t>
      </w:r>
    </w:p>
    <w:p w:rsidR="008E20A6" w:rsidRPr="00A635C8" w:rsidRDefault="000679A4" w:rsidP="000679A4">
      <w:pPr>
        <w:spacing w:line="40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(三).</w:t>
      </w:r>
      <w:r w:rsidR="00CC2D4A"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建成实施系列国际理解教育课程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法、韩选修课常态开设，国际英才班开设国际理解课程，编写系列国际理解教育校本教材等。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目前双流中学已开发了“四川省双流中学国际理解教育读本（</w:t>
      </w:r>
      <w:r w:rsidR="003536AB"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中西方文化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）”，正在筹备开发“多元文化融合视野下在高中教学中实施国际理解教育的研究”、“多元文化融合视野下学校课程的建构与实践研究”等共</w:t>
      </w:r>
      <w:proofErr w:type="gramStart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研</w:t>
      </w:r>
      <w:proofErr w:type="gramEnd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课题。在未来三年，双流中学要继续努力开设一些本土文化课程，让学生在交流中能更好地宣传中华民族的优良文化。 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在与友好学校交流中，我们不仅要学习世界优秀的文化，也要推动中国文化在世界舞台上的表达与共鸣。双流中学目前已建立自己的教师舞蹈团、声乐团、乐器团以及丰富多样的学生社团。我们充分利用这些资源优势，通过书法、美术、体育（如太极拳）、乐器（古筝、二胡、琵琶等）传统艺术表现形式，以课堂文化输出为载体，开展形式多样的交流活动，</w:t>
      </w:r>
      <w:proofErr w:type="gramStart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让友好</w:t>
      </w:r>
      <w:proofErr w:type="gramEnd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学校师生认识成都，了解四川，学习中华传统文化，如</w:t>
      </w:r>
      <w:r w:rsidR="003536AB"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“双中春晚也成为学校实施国际理解教育的一个平台。”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2015年德国师生团到访双流中学，在我校师生的陪同下，参观了我校师生的艺术作品，学习了我国传统陶艺知识，学习画牡丹花，学打中国太极拳等</w:t>
      </w:r>
      <w:r w:rsidR="003536AB"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（PPT）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。</w:t>
      </w:r>
    </w:p>
    <w:p w:rsidR="008E20A6" w:rsidRPr="00A635C8" w:rsidRDefault="000679A4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(四)</w:t>
      </w:r>
      <w:r w:rsidR="00CC2D4A"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.加强基础建设，构建有力的教育国际化支持系统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作为成都“最美校园”，双流中学将通过积极争取区政府的支持，筹建双流中学国际部专用办公区，打造国际化气息浓烈的校园环境，从学校硬件（校园环境建设、远程网络教室建设、电子图书阅览室建设等）到软件（师资生源、课程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lastRenderedPageBreak/>
        <w:t>设置、教学形式等）形成多元文化特色，体现国际化元素。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加快我校中英文双语网站的建设，开设教育国际化专题网页，利用现代信息技术，与国外高水平教育机构共建教育研究与教学服务平台，共享教育资源。同时，选购境内外优质教育资源数据库，完善我校教育资源，为学生开放适龄阅读外语图书，并且有计划</w:t>
      </w:r>
      <w:proofErr w:type="gramStart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地够置外语</w:t>
      </w:r>
      <w:proofErr w:type="gramEnd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类的书籍、音频、视频资料，供学校师生阅读。</w:t>
      </w:r>
    </w:p>
    <w:p w:rsidR="008E20A6" w:rsidRPr="00A635C8" w:rsidRDefault="000679A4">
      <w:pPr>
        <w:spacing w:line="40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（</w:t>
      </w:r>
      <w:r w:rsidR="00CC2D4A"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五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）</w:t>
      </w:r>
      <w:r w:rsidR="00CC2D4A"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．国际理解教育常态化、制度化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1.开办“双中讲堂”之国际交流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我校开设了丰富多彩的</w:t>
      </w:r>
      <w:r w:rsidR="003536AB"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国际理解教育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校本选修课程，每周三下午三、四节课，高一、高二全体学生采用“走班制”形式上校本选修课，学生对校本选修课热情高涨，反响热烈。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为了进一步拓宽学生视野，完善学校、家庭、社会三位一体的教育体系，学校邀请了热心教育事业的家长（也可以是家长推荐的社会人士）走进课堂，走上讲台，利用自身职业优势资源，让学生能够享受到了更加优质的教育资源。家长们把自己的人生经历、励志故事、职业特点，或者自己的人生感悟、生活经验、一技之长、兴趣爱好等等精心组织整理后，以讲座的形式呈现给孩子们。</w:t>
      </w:r>
    </w:p>
    <w:p w:rsidR="008E20A6" w:rsidRPr="00A635C8" w:rsidRDefault="00CC2D4A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    我校利用这些社会资源，不定期地在师生中就共通性话题，如生涯规划、国际礼仪、领事保护、中美/</w:t>
      </w:r>
      <w:proofErr w:type="gramStart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英艺术</w:t>
      </w:r>
      <w:proofErr w:type="gramEnd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教育对话、青少年教育等，开办国际交流讲堂或沙龙。计划每年举办此高水平讲座2-3次。</w:t>
      </w:r>
    </w:p>
    <w:p w:rsidR="008E20A6" w:rsidRPr="00A635C8" w:rsidRDefault="00CC2D4A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    2.学校教务处</w:t>
      </w:r>
      <w:r w:rsidR="000679A4"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牵头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，引进、融合和开发国际理解教育校本课程，把国际理解教育渗透到学校教学之中，并纳入每年</w:t>
      </w:r>
      <w:proofErr w:type="gramStart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教师赛课</w:t>
      </w:r>
      <w:proofErr w:type="gramEnd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活动和专业技术考核中，使之制度化、常态化。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3.学校团委</w:t>
      </w:r>
      <w:r w:rsidR="000679A4"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牵头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，鼓励师生走向社区，加大宣传力度，将教育国际化的宣传辐射到更多的学生家长及社区群众中。</w:t>
      </w:r>
    </w:p>
    <w:p w:rsidR="000679A4" w:rsidRPr="00A635C8" w:rsidRDefault="000679A4" w:rsidP="000679A4">
      <w:pPr>
        <w:spacing w:line="400" w:lineRule="exac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 w:rsidR="000679A4" w:rsidRPr="00A635C8" w:rsidRDefault="000679A4" w:rsidP="000679A4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四、办学效益及未来思考 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（一）办学效益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 1. 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素质教育落到实处，近年高考成绩显著，国内外名校录取人数逐年攀升；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（高考连续第三年获得 “成都市优秀学校”！清北、央美、意大利那不勒斯美院、…） 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 2. 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教师群体理念提升，荣获各级荣誉；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（省优秀教师：杨朝军；</w:t>
      </w:r>
      <w:r w:rsidRPr="00A635C8">
        <w:rPr>
          <w:rFonts w:asciiTheme="minorEastAsia" w:hAnsiTheme="minorEastAsia" w:cstheme="minorEastAsia"/>
          <w:color w:val="000000" w:themeColor="text1"/>
          <w:sz w:val="24"/>
          <w:szCs w:val="24"/>
        </w:rPr>
        <w:t xml:space="preserve"> </w:t>
      </w: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省五一劳动奖章：牟娅；成都市特级校长：熊伟；市学科带头人：阳冰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）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 3. 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成都市教育国际化窗口学校建设单位。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 4. 代表</w:t>
      </w: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四川省参加全国中小学校园啦</w:t>
      </w:r>
      <w:proofErr w:type="gramStart"/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啦</w:t>
      </w:r>
      <w:proofErr w:type="gramEnd"/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操汇报展演喜获全场最高荣誉“最佳表演奖”。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>… …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lastRenderedPageBreak/>
        <w:t>（二）未来思考</w:t>
      </w:r>
      <w:r w:rsidRPr="00A635C8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</w:t>
      </w:r>
    </w:p>
    <w:p w:rsidR="003536AB" w:rsidRPr="00A635C8" w:rsidRDefault="003536AB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总体：进一步加强交流和理解，走向融合发展——引进和整合课程资源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具体讲： 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●走出去，请进来。要进行深度的规划，加强顶层设计，让国际化的理念能够从每个老师自觉的行动上体现出来。 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●立足校本实际，培养国际化的师资力量。 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●继续深化课程改革，打造</w:t>
      </w:r>
      <w:proofErr w:type="gramStart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校本化</w:t>
      </w:r>
      <w:proofErr w:type="gramEnd"/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的国际理解教育课程体系，探索教育教学方式的国际化，推进我们的课堂教学改革。 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●建设数字化国际教育交流平台，营造国际化育人环境，加强校际间、地区间的交流和合作。</w:t>
      </w:r>
      <w:r w:rsidRPr="00A635C8">
        <w:rPr>
          <w:rFonts w:asciiTheme="minorEastAsia" w:hAnsiTheme="minorEastAsia" w:cstheme="minorEastAsia"/>
          <w:color w:val="000000" w:themeColor="text1"/>
          <w:sz w:val="24"/>
          <w:szCs w:val="24"/>
        </w:rPr>
        <w:t xml:space="preserve"> </w:t>
      </w:r>
    </w:p>
    <w:p w:rsidR="000679A4" w:rsidRPr="00A635C8" w:rsidRDefault="000679A4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中学教育国际化，是教育公平及在全球化背景下实现人力资源强国目标的必然思考。教育国际化是一个全球性的重大课题，我们既要吸收世界发达国家优秀的教育经验和成果，也要把中国博大精深的传统文化对外推广。</w:t>
      </w:r>
      <w:r w:rsidR="000679A4"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（PPT）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双流中学将以教育国际化窗口学校建设工作为载体，彰显学校办学特色，积累优质国际理解教育资源，让双流中学真正起到窗口示范校的示范引领作用。</w:t>
      </w:r>
    </w:p>
    <w:p w:rsidR="008E20A6" w:rsidRPr="00A635C8" w:rsidRDefault="00CC2D4A" w:rsidP="00A635C8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我们将继续加强国际理解教育的研究，不断探索传统文化在国际交流中的继承和发扬，推进国际理解教育的深入开展，使教育国际化建设成为推动教师教育国际化意识、提升教师国际化教育科研水平的动力；帮助学生充分体验到“国际理解”的价值与意义，树立国际意识，积极参与国际间文化、教育、体育等交流，让学生在继承中国优秀文化传统的同时，注重多元文化的吸收，最终培养一批具有国际竞争力，具有大志向、大气度，高精尖的复合型领袖人才和社会精英。</w:t>
      </w:r>
      <w:r w:rsidR="000679A4" w:rsidRPr="00A635C8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(PPT)</w:t>
      </w:r>
    </w:p>
    <w:p w:rsidR="008E20A6" w:rsidRPr="00A635C8" w:rsidRDefault="008E20A6" w:rsidP="00A635C8">
      <w:pPr>
        <w:spacing w:line="360" w:lineRule="auto"/>
        <w:ind w:firstLineChars="200" w:firstLine="420"/>
        <w:rPr>
          <w:rFonts w:ascii="宋体" w:hAnsi="宋体"/>
          <w:color w:val="000000" w:themeColor="text1"/>
          <w:szCs w:val="28"/>
        </w:rPr>
      </w:pPr>
    </w:p>
    <w:p w:rsidR="008E20A6" w:rsidRPr="00A635C8" w:rsidRDefault="008E20A6">
      <w:pPr>
        <w:spacing w:line="400" w:lineRule="exact"/>
        <w:ind w:firstLine="42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sectPr w:rsidR="008E20A6" w:rsidRPr="00A635C8" w:rsidSect="008E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34" w:rsidRDefault="00084234" w:rsidP="00064EB1">
      <w:r>
        <w:separator/>
      </w:r>
    </w:p>
  </w:endnote>
  <w:endnote w:type="continuationSeparator" w:id="0">
    <w:p w:rsidR="00084234" w:rsidRDefault="00084234" w:rsidP="000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83705"/>
      <w:docPartObj>
        <w:docPartGallery w:val="Page Numbers (Bottom of Page)"/>
        <w:docPartUnique/>
      </w:docPartObj>
    </w:sdtPr>
    <w:sdtContent>
      <w:p w:rsidR="003536AB" w:rsidRDefault="003014A2">
        <w:pPr>
          <w:pStyle w:val="a4"/>
          <w:jc w:val="center"/>
        </w:pPr>
        <w:fldSimple w:instr=" PAGE   \* MERGEFORMAT ">
          <w:r w:rsidR="00A635C8" w:rsidRPr="00A635C8">
            <w:rPr>
              <w:noProof/>
              <w:lang w:val="zh-CN"/>
            </w:rPr>
            <w:t>1</w:t>
          </w:r>
        </w:fldSimple>
      </w:p>
    </w:sdtContent>
  </w:sdt>
  <w:p w:rsidR="003536AB" w:rsidRDefault="003536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34" w:rsidRDefault="00084234" w:rsidP="00064EB1">
      <w:r>
        <w:separator/>
      </w:r>
    </w:p>
  </w:footnote>
  <w:footnote w:type="continuationSeparator" w:id="0">
    <w:p w:rsidR="00084234" w:rsidRDefault="00084234" w:rsidP="00064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74BF"/>
    <w:multiLevelType w:val="singleLevel"/>
    <w:tmpl w:val="578D74BF"/>
    <w:lvl w:ilvl="0">
      <w:start w:val="2"/>
      <w:numFmt w:val="chineseCounting"/>
      <w:suff w:val="nothing"/>
      <w:lvlText w:val="%1."/>
      <w:lvlJc w:val="left"/>
    </w:lvl>
  </w:abstractNum>
  <w:abstractNum w:abstractNumId="1">
    <w:nsid w:val="6B9B59BF"/>
    <w:multiLevelType w:val="hybridMultilevel"/>
    <w:tmpl w:val="623C0548"/>
    <w:lvl w:ilvl="0" w:tplc="1158A3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E18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CF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61D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457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08C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E4A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865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8FA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D753D"/>
    <w:rsid w:val="00064EB1"/>
    <w:rsid w:val="000679A4"/>
    <w:rsid w:val="00084234"/>
    <w:rsid w:val="001357D6"/>
    <w:rsid w:val="001529F5"/>
    <w:rsid w:val="002A7990"/>
    <w:rsid w:val="002D2E1C"/>
    <w:rsid w:val="003014A2"/>
    <w:rsid w:val="003536AB"/>
    <w:rsid w:val="003557EA"/>
    <w:rsid w:val="00400430"/>
    <w:rsid w:val="006448EF"/>
    <w:rsid w:val="00765560"/>
    <w:rsid w:val="007A518F"/>
    <w:rsid w:val="00834821"/>
    <w:rsid w:val="008B6E20"/>
    <w:rsid w:val="008D753D"/>
    <w:rsid w:val="008E20A6"/>
    <w:rsid w:val="00955761"/>
    <w:rsid w:val="009E01A7"/>
    <w:rsid w:val="00A35D69"/>
    <w:rsid w:val="00A635C8"/>
    <w:rsid w:val="00C87612"/>
    <w:rsid w:val="00CC2D4A"/>
    <w:rsid w:val="00CC44E2"/>
    <w:rsid w:val="00F122CF"/>
    <w:rsid w:val="4A863E8A"/>
    <w:rsid w:val="5DE9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E20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E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rsid w:val="008E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E20A6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8E20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0A6"/>
    <w:rPr>
      <w:sz w:val="18"/>
      <w:szCs w:val="18"/>
    </w:rPr>
  </w:style>
  <w:style w:type="character" w:customStyle="1" w:styleId="description">
    <w:name w:val="description"/>
    <w:basedOn w:val="a0"/>
    <w:rsid w:val="008E20A6"/>
  </w:style>
  <w:style w:type="character" w:customStyle="1" w:styleId="Char">
    <w:name w:val="批注框文本 Char"/>
    <w:basedOn w:val="a0"/>
    <w:link w:val="a3"/>
    <w:uiPriority w:val="99"/>
    <w:semiHidden/>
    <w:rsid w:val="008E2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639</Words>
  <Characters>3646</Characters>
  <Application>Microsoft Office Word</Application>
  <DocSecurity>0</DocSecurity>
  <Lines>30</Lines>
  <Paragraphs>8</Paragraphs>
  <ScaleCrop>false</ScaleCrop>
  <Company>Sky123.Org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cp:lastPrinted>2016-07-28T08:11:00Z</cp:lastPrinted>
  <dcterms:created xsi:type="dcterms:W3CDTF">2016-12-18T13:46:00Z</dcterms:created>
  <dcterms:modified xsi:type="dcterms:W3CDTF">2016-12-18T13:48:00Z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