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32"/>
          <w:szCs w:val="32"/>
        </w:rPr>
        <w:t>成都市教育局等十五部门关于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32"/>
          <w:szCs w:val="32"/>
        </w:rPr>
        <w:t>印发《成都市“十四五”学前教育发展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32"/>
          <w:szCs w:val="32"/>
        </w:rPr>
        <w:t>提升行动实施方案》的通知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成教办〔2022〕12号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各区（市）县教育、编办、发改、公安、民政、财政、人社、规划和自然资源、住建、卫健、应急、市场监管、医保、税务、消防救援部门：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        为深入贯彻落实党的二十大、十九届历次全会和省、市党代会精神，加快推进全市学前教育普及普惠安全优质发展，根据教育部等九部门印发的《“十四五”学前教育发展提升行动计划》和教育厅等九部门印发的《“十四五”学前教育发展提升行动计划实施方案》，结合成都实际，研究制定了《成都市“十四五”学前教育发展提升行动实施方案》，现予以印发，请认真贯彻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成都市教育局 中共成都市委机构编制委员会办公室 成都市发展和改革委员会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成都市公安局 成都市民政局 成都市财政局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成都市人力资源和社会保障局 成都市规划和自然资源局 成都市住房和城乡建设局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成都市卫生健康委员会 成都市应急管理局 成都市市场监督管理局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成都市医疗保障局 国家税务总局 成都市税务局 成都市消防救援支队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2022年11月15日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TIxM2E2M2E2MWVmODRlMmM2YTAwM2E3MGNmZTMifQ=="/>
  </w:docVars>
  <w:rsids>
    <w:rsidRoot w:val="405F7848"/>
    <w:rsid w:val="405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2023-04-25T02:26:00Z</dcterms:created>
  <dc:creator>恰若青石</dc:creator>
  <cp:lastModifiedBy>恰若青石</cp:lastModifiedBy>
  <dcterms:modified xsi:type="dcterms:W3CDTF">2023-04-25T02:27:06Z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F333FF2E6EE646668C92230E3ECD7DAC_11</vt:lpwstr>
  </property>
</Properties>
</file>